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05" w:rsidRDefault="004C5D4D" w:rsidP="00CA679E">
      <w:pPr>
        <w:jc w:val="right"/>
        <w:rPr>
          <w:rFonts w:ascii="Arial" w:hAnsi="Arial" w:cs="Arial"/>
          <w:sz w:val="14"/>
          <w:szCs w:val="14"/>
        </w:rPr>
      </w:pPr>
      <w:r>
        <w:rPr>
          <w:rFonts w:ascii="Arial" w:hAnsi="Arial" w:cs="Arial"/>
          <w:b/>
          <w:noProof/>
          <w:sz w:val="14"/>
          <w:szCs w:val="14"/>
        </w:rPr>
        <w:drawing>
          <wp:anchor distT="0" distB="0" distL="114300" distR="114300" simplePos="0" relativeHeight="251658240" behindDoc="1" locked="0" layoutInCell="1" allowOverlap="1">
            <wp:simplePos x="0" y="0"/>
            <wp:positionH relativeFrom="column">
              <wp:posOffset>32385</wp:posOffset>
            </wp:positionH>
            <wp:positionV relativeFrom="paragraph">
              <wp:posOffset>148590</wp:posOffset>
            </wp:positionV>
            <wp:extent cx="869791" cy="1028700"/>
            <wp:effectExtent l="19050" t="0" r="6509" b="0"/>
            <wp:wrapNone/>
            <wp:docPr id="4" name="Obraz 2" descr="F:\DANE\Robert\Jastrząb\herb mi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DANE\Robert\Jastrząb\herb miasta.jpg"/>
                    <pic:cNvPicPr>
                      <a:picLocks noChangeAspect="1" noChangeArrowheads="1"/>
                    </pic:cNvPicPr>
                  </pic:nvPicPr>
                  <pic:blipFill>
                    <a:blip r:embed="rId4" cstate="print"/>
                    <a:srcRect/>
                    <a:stretch>
                      <a:fillRect/>
                    </a:stretch>
                  </pic:blipFill>
                  <pic:spPr bwMode="auto">
                    <a:xfrm>
                      <a:off x="0" y="0"/>
                      <a:ext cx="869791" cy="1028700"/>
                    </a:xfrm>
                    <a:prstGeom prst="rect">
                      <a:avLst/>
                    </a:prstGeom>
                    <a:noFill/>
                    <a:ln w="9525">
                      <a:noFill/>
                      <a:miter lim="800000"/>
                      <a:headEnd/>
                      <a:tailEnd/>
                    </a:ln>
                  </pic:spPr>
                </pic:pic>
              </a:graphicData>
            </a:graphic>
          </wp:anchor>
        </w:drawing>
      </w:r>
      <w:r w:rsidR="00CA679E" w:rsidRPr="00CA679E">
        <w:rPr>
          <w:rFonts w:ascii="Arial" w:hAnsi="Arial" w:cs="Arial"/>
          <w:b/>
          <w:sz w:val="14"/>
          <w:szCs w:val="14"/>
        </w:rPr>
        <w:t xml:space="preserve">                                                                                         </w:t>
      </w:r>
      <w:r w:rsidR="00CA679E" w:rsidRPr="00CA679E">
        <w:rPr>
          <w:rFonts w:ascii="Arial" w:hAnsi="Arial" w:cs="Arial"/>
          <w:sz w:val="14"/>
          <w:szCs w:val="14"/>
        </w:rPr>
        <w:t>Załącznik nr 1 do Zarządzenia Nr OR.IV.0050.</w:t>
      </w:r>
      <w:r w:rsidR="0021430D">
        <w:rPr>
          <w:rFonts w:ascii="Arial" w:hAnsi="Arial" w:cs="Arial"/>
          <w:sz w:val="14"/>
          <w:szCs w:val="14"/>
        </w:rPr>
        <w:t>646</w:t>
      </w:r>
      <w:r w:rsidR="00ED1474">
        <w:rPr>
          <w:rFonts w:ascii="Arial" w:hAnsi="Arial" w:cs="Arial"/>
          <w:sz w:val="14"/>
          <w:szCs w:val="14"/>
        </w:rPr>
        <w:t>.2015</w:t>
      </w:r>
      <w:r w:rsidR="00CA679E" w:rsidRPr="00CA679E">
        <w:rPr>
          <w:rFonts w:ascii="Arial" w:hAnsi="Arial" w:cs="Arial"/>
          <w:sz w:val="14"/>
          <w:szCs w:val="14"/>
        </w:rPr>
        <w:t xml:space="preserve"> Prezydenta Miasta Jastrzębie- Zdrój z dnia  </w:t>
      </w:r>
      <w:r w:rsidR="0021430D">
        <w:rPr>
          <w:rFonts w:ascii="Arial" w:hAnsi="Arial" w:cs="Arial"/>
          <w:sz w:val="14"/>
          <w:szCs w:val="14"/>
        </w:rPr>
        <w:t xml:space="preserve">25 listopada </w:t>
      </w:r>
      <w:r w:rsidR="00CA679E" w:rsidRPr="00CA679E">
        <w:rPr>
          <w:rFonts w:ascii="Arial" w:hAnsi="Arial" w:cs="Arial"/>
          <w:sz w:val="14"/>
          <w:szCs w:val="14"/>
        </w:rPr>
        <w:t>2015  roku  w sprawie ogłoszenia</w:t>
      </w:r>
      <w:r w:rsidR="00A26054">
        <w:rPr>
          <w:rFonts w:ascii="Arial" w:hAnsi="Arial" w:cs="Arial"/>
          <w:sz w:val="14"/>
          <w:szCs w:val="14"/>
        </w:rPr>
        <w:t xml:space="preserve"> </w:t>
      </w:r>
      <w:r w:rsidR="00ED1474">
        <w:rPr>
          <w:rFonts w:ascii="Arial" w:hAnsi="Arial" w:cs="Arial"/>
          <w:sz w:val="14"/>
          <w:szCs w:val="14"/>
        </w:rPr>
        <w:t>trzeciego</w:t>
      </w:r>
      <w:r w:rsidR="00A26054">
        <w:rPr>
          <w:rFonts w:ascii="Arial" w:hAnsi="Arial" w:cs="Arial"/>
          <w:sz w:val="14"/>
          <w:szCs w:val="14"/>
        </w:rPr>
        <w:t xml:space="preserve"> przetargu ustnego </w:t>
      </w:r>
      <w:r w:rsidR="00CA679E" w:rsidRPr="00CA679E">
        <w:rPr>
          <w:rFonts w:ascii="Arial" w:hAnsi="Arial" w:cs="Arial"/>
          <w:sz w:val="14"/>
          <w:szCs w:val="14"/>
        </w:rPr>
        <w:t xml:space="preserve">nieograniczonego na </w:t>
      </w:r>
      <w:r w:rsidR="00A26054">
        <w:rPr>
          <w:rFonts w:ascii="Arial" w:hAnsi="Arial" w:cs="Arial"/>
          <w:sz w:val="14"/>
          <w:szCs w:val="14"/>
        </w:rPr>
        <w:t>sprzedaż nieruchomości gruntowych stanowiących</w:t>
      </w:r>
      <w:r w:rsidR="00CA679E" w:rsidRPr="00CA679E">
        <w:rPr>
          <w:rFonts w:ascii="Arial" w:hAnsi="Arial" w:cs="Arial"/>
          <w:sz w:val="14"/>
          <w:szCs w:val="14"/>
        </w:rPr>
        <w:t xml:space="preserve"> własność  M</w:t>
      </w:r>
      <w:r w:rsidR="00A26054">
        <w:rPr>
          <w:rFonts w:ascii="Arial" w:hAnsi="Arial" w:cs="Arial"/>
          <w:sz w:val="14"/>
          <w:szCs w:val="14"/>
        </w:rPr>
        <w:t>iasta Jastrzębie- Zdrój położonych</w:t>
      </w:r>
      <w:r w:rsidR="00CA679E" w:rsidRPr="00CA679E">
        <w:rPr>
          <w:rFonts w:ascii="Arial" w:hAnsi="Arial" w:cs="Arial"/>
          <w:sz w:val="14"/>
          <w:szCs w:val="14"/>
        </w:rPr>
        <w:t xml:space="preserve"> przy ul. </w:t>
      </w:r>
      <w:r w:rsidR="00A26054">
        <w:rPr>
          <w:rFonts w:ascii="Arial" w:hAnsi="Arial" w:cs="Arial"/>
          <w:sz w:val="14"/>
          <w:szCs w:val="14"/>
        </w:rPr>
        <w:t>Powstańców Śląskich</w:t>
      </w:r>
      <w:r w:rsidR="00CA679E" w:rsidRPr="00CA679E">
        <w:rPr>
          <w:rFonts w:ascii="Arial" w:hAnsi="Arial" w:cs="Arial"/>
          <w:sz w:val="14"/>
          <w:szCs w:val="14"/>
        </w:rPr>
        <w:t>.</w:t>
      </w:r>
    </w:p>
    <w:p w:rsidR="008401CE" w:rsidRPr="00CA679E" w:rsidRDefault="008401CE" w:rsidP="008401CE">
      <w:pPr>
        <w:ind w:left="-426"/>
        <w:rPr>
          <w:sz w:val="14"/>
          <w:szCs w:val="14"/>
        </w:rPr>
      </w:pPr>
    </w:p>
    <w:p w:rsidR="00F61DA2" w:rsidRDefault="00CA679E" w:rsidP="00CA679E">
      <w:pPr>
        <w:jc w:val="center"/>
        <w:rPr>
          <w:rFonts w:asciiTheme="minorHAnsi" w:hAnsiTheme="minorHAnsi"/>
          <w:b/>
          <w:shadow/>
          <w:spacing w:val="20"/>
          <w:szCs w:val="28"/>
        </w:rPr>
      </w:pPr>
      <w:r w:rsidRPr="00956EE1">
        <w:rPr>
          <w:rFonts w:asciiTheme="minorHAnsi" w:hAnsiTheme="minorHAnsi"/>
          <w:b/>
          <w:shadow/>
          <w:spacing w:val="20"/>
          <w:szCs w:val="28"/>
        </w:rPr>
        <w:t xml:space="preserve">OGŁOSZENIE O </w:t>
      </w:r>
      <w:r w:rsidR="00ED1474">
        <w:rPr>
          <w:rFonts w:asciiTheme="minorHAnsi" w:hAnsiTheme="minorHAnsi"/>
          <w:b/>
          <w:shadow/>
          <w:spacing w:val="20"/>
          <w:szCs w:val="28"/>
        </w:rPr>
        <w:t>TRZECIM</w:t>
      </w:r>
      <w:r w:rsidR="00F61DA2">
        <w:rPr>
          <w:rFonts w:asciiTheme="minorHAnsi" w:hAnsiTheme="minorHAnsi"/>
          <w:b/>
          <w:shadow/>
          <w:spacing w:val="20"/>
          <w:szCs w:val="28"/>
        </w:rPr>
        <w:t xml:space="preserve"> </w:t>
      </w:r>
      <w:r w:rsidRPr="00956EE1">
        <w:rPr>
          <w:rFonts w:asciiTheme="minorHAnsi" w:hAnsiTheme="minorHAnsi"/>
          <w:b/>
          <w:shadow/>
          <w:spacing w:val="20"/>
          <w:szCs w:val="28"/>
        </w:rPr>
        <w:t xml:space="preserve">PRZETARGU USTNYM NIEORGANICZONYM </w:t>
      </w:r>
      <w:r w:rsidR="00000697" w:rsidRPr="00956EE1">
        <w:rPr>
          <w:rFonts w:asciiTheme="minorHAnsi" w:hAnsiTheme="minorHAnsi"/>
          <w:b/>
          <w:shadow/>
          <w:spacing w:val="20"/>
          <w:szCs w:val="28"/>
        </w:rPr>
        <w:t xml:space="preserve">NA SPRZEDAŻ </w:t>
      </w:r>
    </w:p>
    <w:p w:rsidR="00CA679E" w:rsidRPr="00956EE1" w:rsidRDefault="00000697" w:rsidP="00CA679E">
      <w:pPr>
        <w:jc w:val="center"/>
        <w:rPr>
          <w:rFonts w:ascii="Verdana" w:hAnsi="Verdana" w:cs="Arial"/>
          <w:b/>
          <w:shadow/>
          <w:spacing w:val="20"/>
          <w:szCs w:val="28"/>
        </w:rPr>
      </w:pPr>
      <w:r w:rsidRPr="00956EE1">
        <w:rPr>
          <w:rFonts w:asciiTheme="minorHAnsi" w:hAnsiTheme="minorHAnsi"/>
          <w:b/>
          <w:shadow/>
          <w:spacing w:val="20"/>
          <w:szCs w:val="28"/>
        </w:rPr>
        <w:t>NIER</w:t>
      </w:r>
      <w:r w:rsidR="00CA679E" w:rsidRPr="00956EE1">
        <w:rPr>
          <w:rFonts w:asciiTheme="minorHAnsi" w:hAnsiTheme="minorHAnsi"/>
          <w:b/>
          <w:shadow/>
          <w:spacing w:val="20"/>
          <w:szCs w:val="28"/>
        </w:rPr>
        <w:t>U</w:t>
      </w:r>
      <w:r w:rsidR="004574F4" w:rsidRPr="00956EE1">
        <w:rPr>
          <w:rFonts w:asciiTheme="minorHAnsi" w:hAnsiTheme="minorHAnsi"/>
          <w:b/>
          <w:shadow/>
          <w:spacing w:val="20"/>
          <w:szCs w:val="28"/>
        </w:rPr>
        <w:t>CHOMOSCI POŁOŻ</w:t>
      </w:r>
      <w:r w:rsidR="00CA679E" w:rsidRPr="00956EE1">
        <w:rPr>
          <w:rFonts w:asciiTheme="minorHAnsi" w:hAnsiTheme="minorHAnsi"/>
          <w:b/>
          <w:shadow/>
          <w:spacing w:val="20"/>
          <w:szCs w:val="28"/>
        </w:rPr>
        <w:t>ONYCH</w:t>
      </w:r>
      <w:r w:rsidR="00797007" w:rsidRPr="00956EE1">
        <w:rPr>
          <w:rFonts w:asciiTheme="minorHAnsi" w:hAnsiTheme="minorHAnsi"/>
          <w:b/>
          <w:shadow/>
          <w:spacing w:val="20"/>
          <w:szCs w:val="28"/>
        </w:rPr>
        <w:t xml:space="preserve"> PRZY UL</w:t>
      </w:r>
      <w:r w:rsidR="00F61DA2">
        <w:rPr>
          <w:rFonts w:asciiTheme="minorHAnsi" w:hAnsiTheme="minorHAnsi"/>
          <w:b/>
          <w:shadow/>
          <w:spacing w:val="20"/>
          <w:szCs w:val="28"/>
        </w:rPr>
        <w:t>.</w:t>
      </w:r>
      <w:r w:rsidR="00797007" w:rsidRPr="00956EE1">
        <w:rPr>
          <w:rFonts w:asciiTheme="minorHAnsi" w:hAnsiTheme="minorHAnsi"/>
          <w:b/>
          <w:shadow/>
          <w:spacing w:val="20"/>
          <w:szCs w:val="28"/>
        </w:rPr>
        <w:t xml:space="preserve"> </w:t>
      </w:r>
      <w:r w:rsidR="00A26054">
        <w:rPr>
          <w:rFonts w:asciiTheme="minorHAnsi" w:hAnsiTheme="minorHAnsi"/>
          <w:b/>
          <w:shadow/>
          <w:spacing w:val="20"/>
          <w:szCs w:val="28"/>
        </w:rPr>
        <w:t>POWSTAŃCÓW ŚLĄSKICH</w:t>
      </w:r>
      <w:r w:rsidR="00797007" w:rsidRPr="00956EE1">
        <w:rPr>
          <w:rFonts w:asciiTheme="minorHAnsi" w:hAnsiTheme="minorHAnsi"/>
          <w:b/>
          <w:shadow/>
          <w:spacing w:val="20"/>
          <w:szCs w:val="28"/>
        </w:rPr>
        <w:t xml:space="preserve"> W JASTRZĘBIU</w:t>
      </w:r>
      <w:r w:rsidR="006476BB">
        <w:rPr>
          <w:rFonts w:asciiTheme="minorHAnsi" w:hAnsiTheme="minorHAnsi"/>
          <w:b/>
          <w:shadow/>
          <w:spacing w:val="20"/>
          <w:szCs w:val="28"/>
        </w:rPr>
        <w:t xml:space="preserve"> </w:t>
      </w:r>
      <w:r w:rsidR="00797007" w:rsidRPr="00956EE1">
        <w:rPr>
          <w:rFonts w:asciiTheme="minorHAnsi" w:hAnsiTheme="minorHAnsi"/>
          <w:b/>
          <w:shadow/>
          <w:spacing w:val="20"/>
          <w:szCs w:val="28"/>
        </w:rPr>
        <w:t>-</w:t>
      </w:r>
      <w:r w:rsidR="006476BB">
        <w:rPr>
          <w:rFonts w:asciiTheme="minorHAnsi" w:hAnsiTheme="minorHAnsi"/>
          <w:b/>
          <w:shadow/>
          <w:spacing w:val="20"/>
          <w:szCs w:val="28"/>
        </w:rPr>
        <w:t xml:space="preserve"> </w:t>
      </w:r>
      <w:r w:rsidR="00CA679E" w:rsidRPr="00956EE1">
        <w:rPr>
          <w:rFonts w:asciiTheme="minorHAnsi" w:hAnsiTheme="minorHAnsi"/>
          <w:b/>
          <w:shadow/>
          <w:spacing w:val="20"/>
          <w:szCs w:val="28"/>
        </w:rPr>
        <w:t>ZDROJU</w:t>
      </w:r>
    </w:p>
    <w:p w:rsidR="00CA679E" w:rsidRPr="00CA679E" w:rsidRDefault="00CA679E" w:rsidP="00CA679E">
      <w:pPr>
        <w:jc w:val="center"/>
        <w:rPr>
          <w:rFonts w:ascii="Verdana" w:hAnsi="Verdana" w:cs="Arial"/>
          <w:sz w:val="20"/>
        </w:rPr>
      </w:pPr>
    </w:p>
    <w:p w:rsidR="004574F4" w:rsidRDefault="003D160E" w:rsidP="00CA679E">
      <w:pPr>
        <w:jc w:val="center"/>
        <w:rPr>
          <w:rFonts w:asciiTheme="minorHAnsi" w:hAnsiTheme="minorHAnsi"/>
          <w:b/>
          <w:sz w:val="24"/>
          <w:szCs w:val="24"/>
        </w:rPr>
      </w:pPr>
      <w:r>
        <w:rPr>
          <w:rFonts w:asciiTheme="minorHAnsi" w:hAnsiTheme="minorHAnsi"/>
          <w:b/>
          <w:sz w:val="24"/>
          <w:szCs w:val="24"/>
        </w:rPr>
        <w:t xml:space="preserve">             </w:t>
      </w:r>
      <w:r w:rsidR="00CA679E" w:rsidRPr="00CA679E">
        <w:rPr>
          <w:rFonts w:asciiTheme="minorHAnsi" w:hAnsiTheme="minorHAnsi"/>
          <w:b/>
          <w:sz w:val="24"/>
          <w:szCs w:val="24"/>
        </w:rPr>
        <w:t xml:space="preserve">Prezydent Miasta Jastrzębie –Zdrój ogłasza </w:t>
      </w:r>
      <w:r w:rsidR="00BB23EF">
        <w:rPr>
          <w:rFonts w:asciiTheme="minorHAnsi" w:hAnsiTheme="minorHAnsi"/>
          <w:b/>
          <w:sz w:val="24"/>
          <w:szCs w:val="24"/>
        </w:rPr>
        <w:t xml:space="preserve">na dzień </w:t>
      </w:r>
      <w:r w:rsidR="00ED1474">
        <w:rPr>
          <w:rFonts w:asciiTheme="minorHAnsi" w:hAnsiTheme="minorHAnsi"/>
          <w:b/>
          <w:sz w:val="24"/>
          <w:szCs w:val="24"/>
          <w:u w:val="single"/>
        </w:rPr>
        <w:t>14 stycznia 2016</w:t>
      </w:r>
      <w:r w:rsidR="00BB23EF">
        <w:rPr>
          <w:rFonts w:asciiTheme="minorHAnsi" w:hAnsiTheme="minorHAnsi"/>
          <w:b/>
          <w:sz w:val="24"/>
          <w:szCs w:val="24"/>
        </w:rPr>
        <w:t xml:space="preserve"> roku</w:t>
      </w:r>
      <w:r w:rsidR="004574F4">
        <w:rPr>
          <w:rFonts w:asciiTheme="minorHAnsi" w:hAnsiTheme="minorHAnsi"/>
          <w:b/>
          <w:sz w:val="24"/>
          <w:szCs w:val="24"/>
        </w:rPr>
        <w:t xml:space="preserve"> </w:t>
      </w:r>
      <w:r w:rsidR="00ED1474">
        <w:rPr>
          <w:rFonts w:asciiTheme="minorHAnsi" w:hAnsiTheme="minorHAnsi"/>
          <w:b/>
          <w:sz w:val="24"/>
          <w:szCs w:val="24"/>
        </w:rPr>
        <w:t>trzeci</w:t>
      </w:r>
      <w:r w:rsidR="00A26054">
        <w:rPr>
          <w:rFonts w:asciiTheme="minorHAnsi" w:hAnsiTheme="minorHAnsi"/>
          <w:b/>
          <w:sz w:val="24"/>
          <w:szCs w:val="24"/>
        </w:rPr>
        <w:t xml:space="preserve"> </w:t>
      </w:r>
      <w:r w:rsidR="00CA679E">
        <w:rPr>
          <w:rFonts w:asciiTheme="minorHAnsi" w:hAnsiTheme="minorHAnsi"/>
          <w:b/>
          <w:sz w:val="24"/>
          <w:szCs w:val="24"/>
        </w:rPr>
        <w:t xml:space="preserve">przetarg publiczny nieograniczony na sprzedaż </w:t>
      </w:r>
    </w:p>
    <w:p w:rsidR="00797007" w:rsidRDefault="003D160E" w:rsidP="003D160E">
      <w:pPr>
        <w:ind w:left="142" w:hanging="142"/>
        <w:jc w:val="center"/>
        <w:rPr>
          <w:rFonts w:asciiTheme="minorHAnsi" w:hAnsiTheme="minorHAnsi"/>
          <w:b/>
          <w:sz w:val="24"/>
          <w:szCs w:val="24"/>
        </w:rPr>
      </w:pPr>
      <w:r>
        <w:rPr>
          <w:rFonts w:asciiTheme="minorHAnsi" w:hAnsiTheme="minorHAnsi"/>
          <w:b/>
          <w:sz w:val="24"/>
          <w:szCs w:val="24"/>
        </w:rPr>
        <w:t xml:space="preserve">                            </w:t>
      </w:r>
      <w:r w:rsidR="00CA679E">
        <w:rPr>
          <w:rFonts w:asciiTheme="minorHAnsi" w:hAnsiTheme="minorHAnsi"/>
          <w:b/>
          <w:sz w:val="24"/>
          <w:szCs w:val="24"/>
        </w:rPr>
        <w:t>nieruchomości gruntowych niezabudowanych, stanowiących własność Miasta Jastrzębie-Zdrój położonych</w:t>
      </w:r>
      <w:r w:rsidR="004574F4">
        <w:rPr>
          <w:rFonts w:asciiTheme="minorHAnsi" w:hAnsiTheme="minorHAnsi"/>
          <w:b/>
          <w:sz w:val="24"/>
          <w:szCs w:val="24"/>
        </w:rPr>
        <w:t xml:space="preserve"> </w:t>
      </w:r>
      <w:r w:rsidR="00A26054">
        <w:rPr>
          <w:rFonts w:asciiTheme="minorHAnsi" w:hAnsiTheme="minorHAnsi"/>
          <w:b/>
          <w:sz w:val="24"/>
          <w:szCs w:val="24"/>
        </w:rPr>
        <w:t>przy ul. Powstańców Śląskich</w:t>
      </w:r>
      <w:r w:rsidR="00CA679E">
        <w:rPr>
          <w:rFonts w:asciiTheme="minorHAnsi" w:hAnsiTheme="minorHAnsi"/>
          <w:b/>
          <w:sz w:val="24"/>
          <w:szCs w:val="24"/>
        </w:rPr>
        <w:t xml:space="preserve"> </w:t>
      </w:r>
    </w:p>
    <w:p w:rsidR="0093282B" w:rsidRDefault="00CA679E" w:rsidP="003D160E">
      <w:pPr>
        <w:ind w:left="142" w:hanging="142"/>
        <w:jc w:val="center"/>
        <w:rPr>
          <w:rFonts w:asciiTheme="minorHAnsi" w:hAnsiTheme="minorHAnsi"/>
          <w:b/>
          <w:sz w:val="24"/>
          <w:szCs w:val="24"/>
        </w:rPr>
      </w:pPr>
      <w:r>
        <w:rPr>
          <w:rFonts w:asciiTheme="minorHAnsi" w:hAnsiTheme="minorHAnsi"/>
          <w:b/>
          <w:sz w:val="24"/>
          <w:szCs w:val="24"/>
        </w:rPr>
        <w:t>w</w:t>
      </w:r>
      <w:r w:rsidR="003D160E">
        <w:rPr>
          <w:rFonts w:asciiTheme="minorHAnsi" w:hAnsiTheme="minorHAnsi"/>
          <w:b/>
          <w:sz w:val="24"/>
          <w:szCs w:val="24"/>
        </w:rPr>
        <w:t> </w:t>
      </w:r>
      <w:r>
        <w:rPr>
          <w:rFonts w:asciiTheme="minorHAnsi" w:hAnsiTheme="minorHAnsi"/>
          <w:b/>
          <w:sz w:val="24"/>
          <w:szCs w:val="24"/>
        </w:rPr>
        <w:t>Jastrzębiu</w:t>
      </w:r>
      <w:r w:rsidR="003D160E">
        <w:rPr>
          <w:rFonts w:asciiTheme="minorHAnsi" w:hAnsiTheme="minorHAnsi"/>
          <w:b/>
          <w:sz w:val="24"/>
          <w:szCs w:val="24"/>
        </w:rPr>
        <w:t>-</w:t>
      </w:r>
      <w:r>
        <w:rPr>
          <w:rFonts w:asciiTheme="minorHAnsi" w:hAnsiTheme="minorHAnsi"/>
          <w:b/>
          <w:sz w:val="24"/>
          <w:szCs w:val="24"/>
        </w:rPr>
        <w:t>Zdroju</w:t>
      </w:r>
      <w:r w:rsidR="003D160E">
        <w:rPr>
          <w:rFonts w:asciiTheme="minorHAnsi" w:hAnsiTheme="minorHAnsi"/>
          <w:b/>
          <w:sz w:val="24"/>
          <w:szCs w:val="24"/>
        </w:rPr>
        <w:t xml:space="preserve">, </w:t>
      </w:r>
      <w:r w:rsidR="00000697">
        <w:rPr>
          <w:rFonts w:asciiTheme="minorHAnsi" w:hAnsiTheme="minorHAnsi"/>
          <w:b/>
          <w:sz w:val="24"/>
          <w:szCs w:val="24"/>
        </w:rPr>
        <w:t xml:space="preserve">obręb Borynia, k. m. </w:t>
      </w:r>
      <w:r w:rsidR="00A26054">
        <w:rPr>
          <w:rFonts w:asciiTheme="minorHAnsi" w:hAnsiTheme="minorHAnsi"/>
          <w:b/>
          <w:sz w:val="24"/>
          <w:szCs w:val="24"/>
        </w:rPr>
        <w:t>14</w:t>
      </w:r>
    </w:p>
    <w:tbl>
      <w:tblPr>
        <w:tblStyle w:val="Tabela-Siatka"/>
        <w:tblW w:w="0" w:type="auto"/>
        <w:jc w:val="center"/>
        <w:tblLook w:val="04A0"/>
      </w:tblPr>
      <w:tblGrid>
        <w:gridCol w:w="1242"/>
        <w:gridCol w:w="2127"/>
        <w:gridCol w:w="2268"/>
        <w:gridCol w:w="1559"/>
        <w:gridCol w:w="2092"/>
      </w:tblGrid>
      <w:tr w:rsidR="00BB23EF" w:rsidTr="008633A7">
        <w:trPr>
          <w:jc w:val="center"/>
        </w:trPr>
        <w:tc>
          <w:tcPr>
            <w:tcW w:w="1242" w:type="dxa"/>
          </w:tcPr>
          <w:p w:rsidR="00BB23EF" w:rsidRDefault="00BB23EF" w:rsidP="00CA679E">
            <w:pPr>
              <w:jc w:val="center"/>
              <w:rPr>
                <w:rFonts w:asciiTheme="minorHAnsi" w:hAnsiTheme="minorHAnsi"/>
                <w:b/>
                <w:sz w:val="24"/>
                <w:szCs w:val="24"/>
              </w:rPr>
            </w:pPr>
            <w:r>
              <w:rPr>
                <w:rFonts w:asciiTheme="minorHAnsi" w:hAnsiTheme="minorHAnsi"/>
                <w:b/>
                <w:sz w:val="24"/>
                <w:szCs w:val="24"/>
              </w:rPr>
              <w:t xml:space="preserve">Nr działki </w:t>
            </w:r>
          </w:p>
        </w:tc>
        <w:tc>
          <w:tcPr>
            <w:tcW w:w="2127" w:type="dxa"/>
          </w:tcPr>
          <w:p w:rsidR="00BB23EF" w:rsidRDefault="00BB23EF" w:rsidP="00CA679E">
            <w:pPr>
              <w:jc w:val="center"/>
              <w:rPr>
                <w:rFonts w:asciiTheme="minorHAnsi" w:hAnsiTheme="minorHAnsi"/>
                <w:b/>
                <w:sz w:val="24"/>
                <w:szCs w:val="24"/>
              </w:rPr>
            </w:pPr>
            <w:r>
              <w:rPr>
                <w:rFonts w:asciiTheme="minorHAnsi" w:hAnsiTheme="minorHAnsi"/>
                <w:b/>
                <w:sz w:val="24"/>
                <w:szCs w:val="24"/>
              </w:rPr>
              <w:t>Powierzchnia w ha</w:t>
            </w:r>
          </w:p>
        </w:tc>
        <w:tc>
          <w:tcPr>
            <w:tcW w:w="2268" w:type="dxa"/>
            <w:tcBorders>
              <w:right w:val="single" w:sz="4" w:space="0" w:color="auto"/>
            </w:tcBorders>
          </w:tcPr>
          <w:p w:rsidR="00BB23EF" w:rsidRDefault="00BB23EF" w:rsidP="00CA679E">
            <w:pPr>
              <w:jc w:val="center"/>
              <w:rPr>
                <w:rFonts w:asciiTheme="minorHAnsi" w:hAnsiTheme="minorHAnsi"/>
                <w:b/>
                <w:sz w:val="24"/>
                <w:szCs w:val="24"/>
              </w:rPr>
            </w:pPr>
            <w:r>
              <w:rPr>
                <w:rFonts w:asciiTheme="minorHAnsi" w:hAnsiTheme="minorHAnsi"/>
                <w:b/>
                <w:sz w:val="24"/>
                <w:szCs w:val="24"/>
              </w:rPr>
              <w:t>Cena wywoławcza</w:t>
            </w:r>
          </w:p>
        </w:tc>
        <w:tc>
          <w:tcPr>
            <w:tcW w:w="1559" w:type="dxa"/>
            <w:tcBorders>
              <w:right w:val="single" w:sz="4" w:space="0" w:color="auto"/>
            </w:tcBorders>
          </w:tcPr>
          <w:p w:rsidR="00070D43" w:rsidRDefault="00BB23EF" w:rsidP="00BB23EF">
            <w:pPr>
              <w:jc w:val="center"/>
              <w:rPr>
                <w:rFonts w:asciiTheme="minorHAnsi" w:hAnsiTheme="minorHAnsi"/>
                <w:b/>
                <w:sz w:val="24"/>
                <w:szCs w:val="24"/>
              </w:rPr>
            </w:pPr>
            <w:r>
              <w:rPr>
                <w:rFonts w:asciiTheme="minorHAnsi" w:hAnsiTheme="minorHAnsi"/>
                <w:b/>
                <w:sz w:val="24"/>
                <w:szCs w:val="24"/>
              </w:rPr>
              <w:t>Wadium</w:t>
            </w:r>
          </w:p>
        </w:tc>
        <w:tc>
          <w:tcPr>
            <w:tcW w:w="2092" w:type="dxa"/>
            <w:tcBorders>
              <w:lef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Godzina przetargu</w:t>
            </w:r>
          </w:p>
        </w:tc>
      </w:tr>
      <w:tr w:rsidR="00BB23EF" w:rsidTr="008633A7">
        <w:trPr>
          <w:jc w:val="center"/>
        </w:trPr>
        <w:tc>
          <w:tcPr>
            <w:tcW w:w="1242" w:type="dxa"/>
          </w:tcPr>
          <w:p w:rsidR="00BB23EF" w:rsidRDefault="00A26054" w:rsidP="00CA679E">
            <w:pPr>
              <w:jc w:val="center"/>
              <w:rPr>
                <w:rFonts w:asciiTheme="minorHAnsi" w:hAnsiTheme="minorHAnsi"/>
                <w:b/>
                <w:sz w:val="24"/>
                <w:szCs w:val="24"/>
              </w:rPr>
            </w:pPr>
            <w:r>
              <w:rPr>
                <w:rFonts w:asciiTheme="minorHAnsi" w:hAnsiTheme="minorHAnsi"/>
                <w:b/>
                <w:sz w:val="24"/>
                <w:szCs w:val="24"/>
              </w:rPr>
              <w:t>342/24</w:t>
            </w:r>
          </w:p>
        </w:tc>
        <w:tc>
          <w:tcPr>
            <w:tcW w:w="2127" w:type="dxa"/>
          </w:tcPr>
          <w:p w:rsidR="00BB23EF" w:rsidRDefault="00A26054" w:rsidP="00CA679E">
            <w:pPr>
              <w:jc w:val="center"/>
              <w:rPr>
                <w:rFonts w:asciiTheme="minorHAnsi" w:hAnsiTheme="minorHAnsi"/>
                <w:b/>
                <w:sz w:val="24"/>
                <w:szCs w:val="24"/>
              </w:rPr>
            </w:pPr>
            <w:r>
              <w:rPr>
                <w:rFonts w:asciiTheme="minorHAnsi" w:hAnsiTheme="minorHAnsi"/>
                <w:b/>
                <w:sz w:val="24"/>
                <w:szCs w:val="24"/>
              </w:rPr>
              <w:t>0,1296</w:t>
            </w:r>
          </w:p>
        </w:tc>
        <w:tc>
          <w:tcPr>
            <w:tcW w:w="2268" w:type="dxa"/>
            <w:tcBorders>
              <w:right w:val="single" w:sz="4" w:space="0" w:color="auto"/>
            </w:tcBorders>
          </w:tcPr>
          <w:p w:rsidR="00BB23EF" w:rsidRDefault="00A26054" w:rsidP="00A26054">
            <w:pPr>
              <w:jc w:val="center"/>
              <w:rPr>
                <w:rFonts w:asciiTheme="minorHAnsi" w:hAnsiTheme="minorHAnsi"/>
                <w:b/>
                <w:sz w:val="24"/>
                <w:szCs w:val="24"/>
              </w:rPr>
            </w:pPr>
            <w:r>
              <w:rPr>
                <w:rFonts w:asciiTheme="minorHAnsi" w:hAnsiTheme="minorHAnsi"/>
                <w:b/>
                <w:sz w:val="24"/>
                <w:szCs w:val="24"/>
              </w:rPr>
              <w:t>45 500</w:t>
            </w:r>
            <w:r w:rsidR="00BB23EF">
              <w:rPr>
                <w:rFonts w:asciiTheme="minorHAnsi" w:hAnsiTheme="minorHAnsi"/>
                <w:b/>
                <w:sz w:val="24"/>
                <w:szCs w:val="24"/>
              </w:rPr>
              <w:t>,00 zł</w:t>
            </w:r>
          </w:p>
        </w:tc>
        <w:tc>
          <w:tcPr>
            <w:tcW w:w="1559" w:type="dxa"/>
            <w:tcBorders>
              <w:right w:val="single" w:sz="4" w:space="0" w:color="auto"/>
            </w:tcBorders>
          </w:tcPr>
          <w:p w:rsidR="00BB23EF" w:rsidRDefault="00A26054" w:rsidP="00A26054">
            <w:pPr>
              <w:jc w:val="center"/>
              <w:rPr>
                <w:rFonts w:asciiTheme="minorHAnsi" w:hAnsiTheme="minorHAnsi"/>
                <w:b/>
                <w:sz w:val="24"/>
                <w:szCs w:val="24"/>
              </w:rPr>
            </w:pPr>
            <w:r>
              <w:rPr>
                <w:rFonts w:asciiTheme="minorHAnsi" w:hAnsiTheme="minorHAnsi"/>
                <w:b/>
                <w:sz w:val="24"/>
                <w:szCs w:val="24"/>
              </w:rPr>
              <w:t>410</w:t>
            </w:r>
            <w:r w:rsidR="00BB23EF">
              <w:rPr>
                <w:rFonts w:asciiTheme="minorHAnsi" w:hAnsiTheme="minorHAnsi"/>
                <w:b/>
                <w:sz w:val="24"/>
                <w:szCs w:val="24"/>
              </w:rPr>
              <w:t>0,00 zł</w:t>
            </w:r>
          </w:p>
        </w:tc>
        <w:tc>
          <w:tcPr>
            <w:tcW w:w="2092" w:type="dxa"/>
            <w:tcBorders>
              <w:lef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9:00</w:t>
            </w:r>
          </w:p>
        </w:tc>
      </w:tr>
      <w:tr w:rsidR="00BB23EF" w:rsidTr="008633A7">
        <w:trPr>
          <w:jc w:val="center"/>
        </w:trPr>
        <w:tc>
          <w:tcPr>
            <w:tcW w:w="1242" w:type="dxa"/>
          </w:tcPr>
          <w:p w:rsidR="00BB23EF" w:rsidRDefault="00A26054" w:rsidP="00CA679E">
            <w:pPr>
              <w:jc w:val="center"/>
              <w:rPr>
                <w:rFonts w:asciiTheme="minorHAnsi" w:hAnsiTheme="minorHAnsi"/>
                <w:b/>
                <w:sz w:val="24"/>
                <w:szCs w:val="24"/>
              </w:rPr>
            </w:pPr>
            <w:r>
              <w:rPr>
                <w:rFonts w:asciiTheme="minorHAnsi" w:hAnsiTheme="minorHAnsi"/>
                <w:b/>
                <w:sz w:val="24"/>
                <w:szCs w:val="24"/>
              </w:rPr>
              <w:t>343/24</w:t>
            </w:r>
          </w:p>
        </w:tc>
        <w:tc>
          <w:tcPr>
            <w:tcW w:w="2127" w:type="dxa"/>
          </w:tcPr>
          <w:p w:rsidR="00BB23EF" w:rsidRDefault="00A26054" w:rsidP="00CA679E">
            <w:pPr>
              <w:jc w:val="center"/>
              <w:rPr>
                <w:rFonts w:asciiTheme="minorHAnsi" w:hAnsiTheme="minorHAnsi"/>
                <w:b/>
                <w:sz w:val="24"/>
                <w:szCs w:val="24"/>
              </w:rPr>
            </w:pPr>
            <w:r>
              <w:rPr>
                <w:rFonts w:asciiTheme="minorHAnsi" w:hAnsiTheme="minorHAnsi"/>
                <w:b/>
                <w:sz w:val="24"/>
                <w:szCs w:val="24"/>
              </w:rPr>
              <w:t>0,1091</w:t>
            </w:r>
          </w:p>
        </w:tc>
        <w:tc>
          <w:tcPr>
            <w:tcW w:w="2268" w:type="dxa"/>
            <w:tcBorders>
              <w:right w:val="single" w:sz="4" w:space="0" w:color="auto"/>
            </w:tcBorders>
          </w:tcPr>
          <w:p w:rsidR="00BB23EF" w:rsidRDefault="00A26054" w:rsidP="00A26054">
            <w:pPr>
              <w:jc w:val="center"/>
              <w:rPr>
                <w:rFonts w:asciiTheme="minorHAnsi" w:hAnsiTheme="minorHAnsi"/>
                <w:b/>
                <w:sz w:val="24"/>
                <w:szCs w:val="24"/>
              </w:rPr>
            </w:pPr>
            <w:r>
              <w:rPr>
                <w:rFonts w:asciiTheme="minorHAnsi" w:hAnsiTheme="minorHAnsi"/>
                <w:b/>
                <w:sz w:val="24"/>
                <w:szCs w:val="24"/>
              </w:rPr>
              <w:t>37 5</w:t>
            </w:r>
            <w:r w:rsidR="00BB23EF">
              <w:rPr>
                <w:rFonts w:asciiTheme="minorHAnsi" w:hAnsiTheme="minorHAnsi"/>
                <w:b/>
                <w:sz w:val="24"/>
                <w:szCs w:val="24"/>
              </w:rPr>
              <w:t xml:space="preserve">00,00 zł </w:t>
            </w:r>
          </w:p>
        </w:tc>
        <w:tc>
          <w:tcPr>
            <w:tcW w:w="1559" w:type="dxa"/>
            <w:tcBorders>
              <w:right w:val="single" w:sz="4" w:space="0" w:color="auto"/>
            </w:tcBorders>
          </w:tcPr>
          <w:p w:rsidR="00BB23EF" w:rsidRDefault="00A26054" w:rsidP="00BB23EF">
            <w:pPr>
              <w:jc w:val="center"/>
              <w:rPr>
                <w:rFonts w:asciiTheme="minorHAnsi" w:hAnsiTheme="minorHAnsi"/>
                <w:b/>
                <w:sz w:val="24"/>
                <w:szCs w:val="24"/>
              </w:rPr>
            </w:pPr>
            <w:r>
              <w:rPr>
                <w:rFonts w:asciiTheme="minorHAnsi" w:hAnsiTheme="minorHAnsi"/>
                <w:b/>
                <w:sz w:val="24"/>
                <w:szCs w:val="24"/>
              </w:rPr>
              <w:t>3</w:t>
            </w:r>
            <w:r w:rsidR="00BB23EF">
              <w:rPr>
                <w:rFonts w:asciiTheme="minorHAnsi" w:hAnsiTheme="minorHAnsi"/>
                <w:b/>
                <w:sz w:val="24"/>
                <w:szCs w:val="24"/>
              </w:rPr>
              <w:t>800,00 zł</w:t>
            </w:r>
          </w:p>
        </w:tc>
        <w:tc>
          <w:tcPr>
            <w:tcW w:w="2092" w:type="dxa"/>
            <w:tcBorders>
              <w:left w:val="single" w:sz="4" w:space="0" w:color="auto"/>
            </w:tcBorders>
          </w:tcPr>
          <w:p w:rsidR="00BB23EF" w:rsidRDefault="00BB23EF" w:rsidP="00BB23EF">
            <w:pPr>
              <w:jc w:val="center"/>
              <w:rPr>
                <w:rFonts w:asciiTheme="minorHAnsi" w:hAnsiTheme="minorHAnsi"/>
                <w:b/>
                <w:sz w:val="24"/>
                <w:szCs w:val="24"/>
              </w:rPr>
            </w:pPr>
            <w:r>
              <w:rPr>
                <w:rFonts w:asciiTheme="minorHAnsi" w:hAnsiTheme="minorHAnsi"/>
                <w:b/>
                <w:sz w:val="24"/>
                <w:szCs w:val="24"/>
              </w:rPr>
              <w:t>9:20</w:t>
            </w:r>
          </w:p>
        </w:tc>
      </w:tr>
      <w:tr w:rsidR="00A26054" w:rsidTr="008633A7">
        <w:trPr>
          <w:jc w:val="center"/>
        </w:trPr>
        <w:tc>
          <w:tcPr>
            <w:tcW w:w="1242" w:type="dxa"/>
          </w:tcPr>
          <w:p w:rsidR="00A26054" w:rsidRDefault="00A26054" w:rsidP="00CA679E">
            <w:pPr>
              <w:jc w:val="center"/>
              <w:rPr>
                <w:rFonts w:asciiTheme="minorHAnsi" w:hAnsiTheme="minorHAnsi"/>
                <w:b/>
                <w:sz w:val="24"/>
                <w:szCs w:val="24"/>
              </w:rPr>
            </w:pPr>
            <w:r>
              <w:rPr>
                <w:rFonts w:asciiTheme="minorHAnsi" w:hAnsiTheme="minorHAnsi"/>
                <w:b/>
                <w:sz w:val="24"/>
                <w:szCs w:val="24"/>
              </w:rPr>
              <w:t>344/24</w:t>
            </w:r>
          </w:p>
        </w:tc>
        <w:tc>
          <w:tcPr>
            <w:tcW w:w="2127" w:type="dxa"/>
          </w:tcPr>
          <w:p w:rsidR="00A26054" w:rsidRDefault="00A26054" w:rsidP="00CA679E">
            <w:pPr>
              <w:jc w:val="center"/>
              <w:rPr>
                <w:rFonts w:asciiTheme="minorHAnsi" w:hAnsiTheme="minorHAnsi"/>
                <w:b/>
                <w:sz w:val="24"/>
                <w:szCs w:val="24"/>
              </w:rPr>
            </w:pPr>
            <w:r>
              <w:rPr>
                <w:rFonts w:asciiTheme="minorHAnsi" w:hAnsiTheme="minorHAnsi"/>
                <w:b/>
                <w:sz w:val="24"/>
                <w:szCs w:val="24"/>
              </w:rPr>
              <w:t>0,1091</w:t>
            </w:r>
          </w:p>
        </w:tc>
        <w:tc>
          <w:tcPr>
            <w:tcW w:w="2268" w:type="dxa"/>
            <w:tcBorders>
              <w:right w:val="single" w:sz="4" w:space="0" w:color="auto"/>
            </w:tcBorders>
          </w:tcPr>
          <w:p w:rsidR="00A26054" w:rsidRDefault="00A26054" w:rsidP="00CA679E">
            <w:pPr>
              <w:jc w:val="center"/>
              <w:rPr>
                <w:rFonts w:asciiTheme="minorHAnsi" w:hAnsiTheme="minorHAnsi"/>
                <w:b/>
                <w:sz w:val="24"/>
                <w:szCs w:val="24"/>
              </w:rPr>
            </w:pPr>
            <w:r>
              <w:rPr>
                <w:rFonts w:asciiTheme="minorHAnsi" w:hAnsiTheme="minorHAnsi"/>
                <w:b/>
                <w:sz w:val="24"/>
                <w:szCs w:val="24"/>
              </w:rPr>
              <w:t xml:space="preserve">37 500,00 zł </w:t>
            </w:r>
          </w:p>
        </w:tc>
        <w:tc>
          <w:tcPr>
            <w:tcW w:w="1559" w:type="dxa"/>
            <w:tcBorders>
              <w:right w:val="single" w:sz="4" w:space="0" w:color="auto"/>
            </w:tcBorders>
          </w:tcPr>
          <w:p w:rsidR="00A26054" w:rsidRDefault="00A26054" w:rsidP="00BB23EF">
            <w:pPr>
              <w:jc w:val="center"/>
              <w:rPr>
                <w:rFonts w:asciiTheme="minorHAnsi" w:hAnsiTheme="minorHAnsi"/>
                <w:b/>
                <w:sz w:val="24"/>
                <w:szCs w:val="24"/>
              </w:rPr>
            </w:pPr>
            <w:r>
              <w:rPr>
                <w:rFonts w:asciiTheme="minorHAnsi" w:hAnsiTheme="minorHAnsi"/>
                <w:b/>
                <w:sz w:val="24"/>
                <w:szCs w:val="24"/>
              </w:rPr>
              <w:t xml:space="preserve">3800,00 zł </w:t>
            </w:r>
          </w:p>
        </w:tc>
        <w:tc>
          <w:tcPr>
            <w:tcW w:w="2092" w:type="dxa"/>
            <w:tcBorders>
              <w:left w:val="single" w:sz="4" w:space="0" w:color="auto"/>
            </w:tcBorders>
          </w:tcPr>
          <w:p w:rsidR="00A26054" w:rsidRDefault="00A26054" w:rsidP="00BB23EF">
            <w:pPr>
              <w:jc w:val="center"/>
              <w:rPr>
                <w:rFonts w:asciiTheme="minorHAnsi" w:hAnsiTheme="minorHAnsi"/>
                <w:b/>
                <w:sz w:val="24"/>
                <w:szCs w:val="24"/>
              </w:rPr>
            </w:pPr>
            <w:r>
              <w:rPr>
                <w:rFonts w:asciiTheme="minorHAnsi" w:hAnsiTheme="minorHAnsi"/>
                <w:b/>
                <w:sz w:val="24"/>
                <w:szCs w:val="24"/>
              </w:rPr>
              <w:t>9:40</w:t>
            </w:r>
          </w:p>
        </w:tc>
      </w:tr>
      <w:tr w:rsidR="00A26054" w:rsidTr="008633A7">
        <w:trPr>
          <w:jc w:val="center"/>
        </w:trPr>
        <w:tc>
          <w:tcPr>
            <w:tcW w:w="1242" w:type="dxa"/>
          </w:tcPr>
          <w:p w:rsidR="00A26054" w:rsidRDefault="00A26054" w:rsidP="00CA679E">
            <w:pPr>
              <w:jc w:val="center"/>
              <w:rPr>
                <w:rFonts w:asciiTheme="minorHAnsi" w:hAnsiTheme="minorHAnsi"/>
                <w:b/>
                <w:sz w:val="24"/>
                <w:szCs w:val="24"/>
              </w:rPr>
            </w:pPr>
            <w:r>
              <w:rPr>
                <w:rFonts w:asciiTheme="minorHAnsi" w:hAnsiTheme="minorHAnsi"/>
                <w:b/>
                <w:sz w:val="24"/>
                <w:szCs w:val="24"/>
              </w:rPr>
              <w:t>345/24</w:t>
            </w:r>
          </w:p>
        </w:tc>
        <w:tc>
          <w:tcPr>
            <w:tcW w:w="2127" w:type="dxa"/>
          </w:tcPr>
          <w:p w:rsidR="00A26054" w:rsidRDefault="00A26054" w:rsidP="00CA679E">
            <w:pPr>
              <w:jc w:val="center"/>
              <w:rPr>
                <w:rFonts w:asciiTheme="minorHAnsi" w:hAnsiTheme="minorHAnsi"/>
                <w:b/>
                <w:sz w:val="24"/>
                <w:szCs w:val="24"/>
              </w:rPr>
            </w:pPr>
            <w:r>
              <w:rPr>
                <w:rFonts w:asciiTheme="minorHAnsi" w:hAnsiTheme="minorHAnsi"/>
                <w:b/>
                <w:sz w:val="24"/>
                <w:szCs w:val="24"/>
              </w:rPr>
              <w:t>0,1093</w:t>
            </w:r>
          </w:p>
        </w:tc>
        <w:tc>
          <w:tcPr>
            <w:tcW w:w="2268" w:type="dxa"/>
            <w:tcBorders>
              <w:right w:val="single" w:sz="4" w:space="0" w:color="auto"/>
            </w:tcBorders>
          </w:tcPr>
          <w:p w:rsidR="00A26054" w:rsidRDefault="00A26054" w:rsidP="00CA679E">
            <w:pPr>
              <w:jc w:val="center"/>
              <w:rPr>
                <w:rFonts w:asciiTheme="minorHAnsi" w:hAnsiTheme="minorHAnsi"/>
                <w:b/>
                <w:sz w:val="24"/>
                <w:szCs w:val="24"/>
              </w:rPr>
            </w:pPr>
            <w:r>
              <w:rPr>
                <w:rFonts w:asciiTheme="minorHAnsi" w:hAnsiTheme="minorHAnsi"/>
                <w:b/>
                <w:sz w:val="24"/>
                <w:szCs w:val="24"/>
              </w:rPr>
              <w:t xml:space="preserve">37 500,00 zł </w:t>
            </w:r>
          </w:p>
        </w:tc>
        <w:tc>
          <w:tcPr>
            <w:tcW w:w="1559" w:type="dxa"/>
            <w:tcBorders>
              <w:right w:val="single" w:sz="4" w:space="0" w:color="auto"/>
            </w:tcBorders>
          </w:tcPr>
          <w:p w:rsidR="00A26054" w:rsidRDefault="00A26054" w:rsidP="00BB23EF">
            <w:pPr>
              <w:jc w:val="center"/>
              <w:rPr>
                <w:rFonts w:asciiTheme="minorHAnsi" w:hAnsiTheme="minorHAnsi"/>
                <w:b/>
                <w:sz w:val="24"/>
                <w:szCs w:val="24"/>
              </w:rPr>
            </w:pPr>
            <w:r>
              <w:rPr>
                <w:rFonts w:asciiTheme="minorHAnsi" w:hAnsiTheme="minorHAnsi"/>
                <w:b/>
                <w:sz w:val="24"/>
                <w:szCs w:val="24"/>
              </w:rPr>
              <w:t xml:space="preserve">3800,00 zł </w:t>
            </w:r>
          </w:p>
        </w:tc>
        <w:tc>
          <w:tcPr>
            <w:tcW w:w="2092" w:type="dxa"/>
            <w:tcBorders>
              <w:left w:val="single" w:sz="4" w:space="0" w:color="auto"/>
            </w:tcBorders>
          </w:tcPr>
          <w:p w:rsidR="00A26054" w:rsidRDefault="00A26054" w:rsidP="00BB23EF">
            <w:pPr>
              <w:jc w:val="center"/>
              <w:rPr>
                <w:rFonts w:asciiTheme="minorHAnsi" w:hAnsiTheme="minorHAnsi"/>
                <w:b/>
                <w:sz w:val="24"/>
                <w:szCs w:val="24"/>
              </w:rPr>
            </w:pPr>
            <w:r>
              <w:rPr>
                <w:rFonts w:asciiTheme="minorHAnsi" w:hAnsiTheme="minorHAnsi"/>
                <w:b/>
                <w:sz w:val="24"/>
                <w:szCs w:val="24"/>
              </w:rPr>
              <w:t>10:00</w:t>
            </w:r>
          </w:p>
        </w:tc>
      </w:tr>
      <w:tr w:rsidR="00A26054" w:rsidTr="008633A7">
        <w:trPr>
          <w:jc w:val="center"/>
        </w:trPr>
        <w:tc>
          <w:tcPr>
            <w:tcW w:w="1242" w:type="dxa"/>
          </w:tcPr>
          <w:p w:rsidR="00A26054" w:rsidRDefault="00A26054" w:rsidP="00CA679E">
            <w:pPr>
              <w:jc w:val="center"/>
              <w:rPr>
                <w:rFonts w:asciiTheme="minorHAnsi" w:hAnsiTheme="minorHAnsi"/>
                <w:b/>
                <w:sz w:val="24"/>
                <w:szCs w:val="24"/>
              </w:rPr>
            </w:pPr>
            <w:r>
              <w:rPr>
                <w:rFonts w:asciiTheme="minorHAnsi" w:hAnsiTheme="minorHAnsi"/>
                <w:b/>
                <w:sz w:val="24"/>
                <w:szCs w:val="24"/>
              </w:rPr>
              <w:t>347/24</w:t>
            </w:r>
          </w:p>
        </w:tc>
        <w:tc>
          <w:tcPr>
            <w:tcW w:w="2127" w:type="dxa"/>
          </w:tcPr>
          <w:p w:rsidR="00A26054" w:rsidRDefault="00A26054" w:rsidP="00A26054">
            <w:pPr>
              <w:jc w:val="center"/>
              <w:rPr>
                <w:rFonts w:asciiTheme="minorHAnsi" w:hAnsiTheme="minorHAnsi"/>
                <w:b/>
                <w:sz w:val="24"/>
                <w:szCs w:val="24"/>
              </w:rPr>
            </w:pPr>
            <w:r>
              <w:rPr>
                <w:rFonts w:asciiTheme="minorHAnsi" w:hAnsiTheme="minorHAnsi"/>
                <w:b/>
                <w:sz w:val="24"/>
                <w:szCs w:val="24"/>
              </w:rPr>
              <w:t>0,1109</w:t>
            </w:r>
          </w:p>
        </w:tc>
        <w:tc>
          <w:tcPr>
            <w:tcW w:w="2268" w:type="dxa"/>
            <w:tcBorders>
              <w:right w:val="single" w:sz="4" w:space="0" w:color="auto"/>
            </w:tcBorders>
          </w:tcPr>
          <w:p w:rsidR="00A26054" w:rsidRDefault="00A26054" w:rsidP="00CA679E">
            <w:pPr>
              <w:jc w:val="center"/>
              <w:rPr>
                <w:rFonts w:asciiTheme="minorHAnsi" w:hAnsiTheme="minorHAnsi"/>
                <w:b/>
                <w:sz w:val="24"/>
                <w:szCs w:val="24"/>
              </w:rPr>
            </w:pPr>
            <w:r>
              <w:rPr>
                <w:rFonts w:asciiTheme="minorHAnsi" w:hAnsiTheme="minorHAnsi"/>
                <w:b/>
                <w:sz w:val="24"/>
                <w:szCs w:val="24"/>
              </w:rPr>
              <w:t xml:space="preserve">38 000,00 zł </w:t>
            </w:r>
          </w:p>
        </w:tc>
        <w:tc>
          <w:tcPr>
            <w:tcW w:w="1559" w:type="dxa"/>
            <w:tcBorders>
              <w:right w:val="single" w:sz="4" w:space="0" w:color="auto"/>
            </w:tcBorders>
          </w:tcPr>
          <w:p w:rsidR="00A26054" w:rsidRDefault="00A26054" w:rsidP="00BB23EF">
            <w:pPr>
              <w:jc w:val="center"/>
              <w:rPr>
                <w:rFonts w:asciiTheme="minorHAnsi" w:hAnsiTheme="minorHAnsi"/>
                <w:b/>
                <w:sz w:val="24"/>
                <w:szCs w:val="24"/>
              </w:rPr>
            </w:pPr>
            <w:r>
              <w:rPr>
                <w:rFonts w:asciiTheme="minorHAnsi" w:hAnsiTheme="minorHAnsi"/>
                <w:b/>
                <w:sz w:val="24"/>
                <w:szCs w:val="24"/>
              </w:rPr>
              <w:t>3800,00 zł</w:t>
            </w:r>
          </w:p>
        </w:tc>
        <w:tc>
          <w:tcPr>
            <w:tcW w:w="2092" w:type="dxa"/>
            <w:tcBorders>
              <w:left w:val="single" w:sz="4" w:space="0" w:color="auto"/>
            </w:tcBorders>
          </w:tcPr>
          <w:p w:rsidR="00A26054" w:rsidRDefault="00A26054" w:rsidP="00BB23EF">
            <w:pPr>
              <w:jc w:val="center"/>
              <w:rPr>
                <w:rFonts w:asciiTheme="minorHAnsi" w:hAnsiTheme="minorHAnsi"/>
                <w:b/>
                <w:sz w:val="24"/>
                <w:szCs w:val="24"/>
              </w:rPr>
            </w:pPr>
            <w:r>
              <w:rPr>
                <w:rFonts w:asciiTheme="minorHAnsi" w:hAnsiTheme="minorHAnsi"/>
                <w:b/>
                <w:sz w:val="24"/>
                <w:szCs w:val="24"/>
              </w:rPr>
              <w:t>10:20</w:t>
            </w:r>
          </w:p>
        </w:tc>
      </w:tr>
      <w:tr w:rsidR="00BB23EF" w:rsidTr="008633A7">
        <w:trPr>
          <w:jc w:val="center"/>
        </w:trPr>
        <w:tc>
          <w:tcPr>
            <w:tcW w:w="1242" w:type="dxa"/>
          </w:tcPr>
          <w:p w:rsidR="00BB23EF" w:rsidRDefault="00A26054" w:rsidP="00CA679E">
            <w:pPr>
              <w:jc w:val="center"/>
              <w:rPr>
                <w:rFonts w:asciiTheme="minorHAnsi" w:hAnsiTheme="minorHAnsi"/>
                <w:b/>
                <w:sz w:val="24"/>
                <w:szCs w:val="24"/>
              </w:rPr>
            </w:pPr>
            <w:r>
              <w:rPr>
                <w:rFonts w:asciiTheme="minorHAnsi" w:hAnsiTheme="minorHAnsi"/>
                <w:b/>
                <w:sz w:val="24"/>
                <w:szCs w:val="24"/>
              </w:rPr>
              <w:t>348/24</w:t>
            </w:r>
          </w:p>
        </w:tc>
        <w:tc>
          <w:tcPr>
            <w:tcW w:w="2127" w:type="dxa"/>
          </w:tcPr>
          <w:p w:rsidR="00BB23EF" w:rsidRDefault="00A26054" w:rsidP="00CA679E">
            <w:pPr>
              <w:jc w:val="center"/>
              <w:rPr>
                <w:rFonts w:asciiTheme="minorHAnsi" w:hAnsiTheme="minorHAnsi"/>
                <w:b/>
                <w:sz w:val="24"/>
                <w:szCs w:val="24"/>
              </w:rPr>
            </w:pPr>
            <w:r>
              <w:rPr>
                <w:rFonts w:asciiTheme="minorHAnsi" w:hAnsiTheme="minorHAnsi"/>
                <w:b/>
                <w:sz w:val="24"/>
                <w:szCs w:val="24"/>
              </w:rPr>
              <w:t>0,1117</w:t>
            </w:r>
          </w:p>
        </w:tc>
        <w:tc>
          <w:tcPr>
            <w:tcW w:w="2268" w:type="dxa"/>
            <w:tcBorders>
              <w:right w:val="single" w:sz="4" w:space="0" w:color="auto"/>
            </w:tcBorders>
          </w:tcPr>
          <w:p w:rsidR="00BB23EF" w:rsidRDefault="00A26054" w:rsidP="00A26054">
            <w:pPr>
              <w:jc w:val="center"/>
              <w:rPr>
                <w:rFonts w:asciiTheme="minorHAnsi" w:hAnsiTheme="minorHAnsi"/>
                <w:b/>
                <w:sz w:val="24"/>
                <w:szCs w:val="24"/>
              </w:rPr>
            </w:pPr>
            <w:r>
              <w:rPr>
                <w:rFonts w:asciiTheme="minorHAnsi" w:hAnsiTheme="minorHAnsi"/>
                <w:b/>
                <w:sz w:val="24"/>
                <w:szCs w:val="24"/>
              </w:rPr>
              <w:t>38 500,00</w:t>
            </w:r>
            <w:r w:rsidR="00BB23EF">
              <w:rPr>
                <w:rFonts w:asciiTheme="minorHAnsi" w:hAnsiTheme="minorHAnsi"/>
                <w:b/>
                <w:sz w:val="24"/>
                <w:szCs w:val="24"/>
              </w:rPr>
              <w:t xml:space="preserve"> zł </w:t>
            </w:r>
          </w:p>
        </w:tc>
        <w:tc>
          <w:tcPr>
            <w:tcW w:w="1559" w:type="dxa"/>
            <w:tcBorders>
              <w:right w:val="single" w:sz="4" w:space="0" w:color="auto"/>
            </w:tcBorders>
          </w:tcPr>
          <w:p w:rsidR="00BB23EF" w:rsidRDefault="00A26054" w:rsidP="00BB23EF">
            <w:pPr>
              <w:jc w:val="center"/>
              <w:rPr>
                <w:rFonts w:asciiTheme="minorHAnsi" w:hAnsiTheme="minorHAnsi"/>
                <w:b/>
                <w:sz w:val="24"/>
                <w:szCs w:val="24"/>
              </w:rPr>
            </w:pPr>
            <w:r>
              <w:rPr>
                <w:rFonts w:asciiTheme="minorHAnsi" w:hAnsiTheme="minorHAnsi"/>
                <w:b/>
                <w:sz w:val="24"/>
                <w:szCs w:val="24"/>
              </w:rPr>
              <w:t>39</w:t>
            </w:r>
            <w:r w:rsidR="00BB23EF">
              <w:rPr>
                <w:rFonts w:asciiTheme="minorHAnsi" w:hAnsiTheme="minorHAnsi"/>
                <w:b/>
                <w:sz w:val="24"/>
                <w:szCs w:val="24"/>
              </w:rPr>
              <w:t>00,00 zł</w:t>
            </w:r>
          </w:p>
        </w:tc>
        <w:tc>
          <w:tcPr>
            <w:tcW w:w="2092" w:type="dxa"/>
            <w:tcBorders>
              <w:left w:val="single" w:sz="4" w:space="0" w:color="auto"/>
            </w:tcBorders>
          </w:tcPr>
          <w:p w:rsidR="00BB23EF" w:rsidRDefault="00A26054" w:rsidP="00BB23EF">
            <w:pPr>
              <w:jc w:val="center"/>
              <w:rPr>
                <w:rFonts w:asciiTheme="minorHAnsi" w:hAnsiTheme="minorHAnsi"/>
                <w:b/>
                <w:sz w:val="24"/>
                <w:szCs w:val="24"/>
              </w:rPr>
            </w:pPr>
            <w:r>
              <w:rPr>
                <w:rFonts w:asciiTheme="minorHAnsi" w:hAnsiTheme="minorHAnsi"/>
                <w:b/>
                <w:sz w:val="24"/>
                <w:szCs w:val="24"/>
              </w:rPr>
              <w:t>10:40</w:t>
            </w:r>
          </w:p>
        </w:tc>
      </w:tr>
      <w:tr w:rsidR="00BB23EF" w:rsidTr="008633A7">
        <w:trPr>
          <w:jc w:val="center"/>
        </w:trPr>
        <w:tc>
          <w:tcPr>
            <w:tcW w:w="1242" w:type="dxa"/>
          </w:tcPr>
          <w:p w:rsidR="00BB23EF" w:rsidRDefault="00A26054" w:rsidP="00CA679E">
            <w:pPr>
              <w:jc w:val="center"/>
              <w:rPr>
                <w:rFonts w:asciiTheme="minorHAnsi" w:hAnsiTheme="minorHAnsi"/>
                <w:b/>
                <w:sz w:val="24"/>
                <w:szCs w:val="24"/>
              </w:rPr>
            </w:pPr>
            <w:r>
              <w:rPr>
                <w:rFonts w:asciiTheme="minorHAnsi" w:hAnsiTheme="minorHAnsi"/>
                <w:b/>
                <w:sz w:val="24"/>
                <w:szCs w:val="24"/>
              </w:rPr>
              <w:t>349/24</w:t>
            </w:r>
          </w:p>
        </w:tc>
        <w:tc>
          <w:tcPr>
            <w:tcW w:w="2127" w:type="dxa"/>
          </w:tcPr>
          <w:p w:rsidR="00BB23EF" w:rsidRDefault="00A26054" w:rsidP="00CA679E">
            <w:pPr>
              <w:jc w:val="center"/>
              <w:rPr>
                <w:rFonts w:asciiTheme="minorHAnsi" w:hAnsiTheme="minorHAnsi"/>
                <w:b/>
                <w:sz w:val="24"/>
                <w:szCs w:val="24"/>
              </w:rPr>
            </w:pPr>
            <w:r>
              <w:rPr>
                <w:rFonts w:asciiTheme="minorHAnsi" w:hAnsiTheme="minorHAnsi"/>
                <w:b/>
                <w:sz w:val="24"/>
                <w:szCs w:val="24"/>
              </w:rPr>
              <w:t>0,1138</w:t>
            </w:r>
          </w:p>
        </w:tc>
        <w:tc>
          <w:tcPr>
            <w:tcW w:w="2268" w:type="dxa"/>
            <w:tcBorders>
              <w:right w:val="single" w:sz="4" w:space="0" w:color="auto"/>
            </w:tcBorders>
          </w:tcPr>
          <w:p w:rsidR="00BB23EF" w:rsidRDefault="00A26054" w:rsidP="00CA679E">
            <w:pPr>
              <w:jc w:val="center"/>
              <w:rPr>
                <w:rFonts w:asciiTheme="minorHAnsi" w:hAnsiTheme="minorHAnsi"/>
                <w:b/>
                <w:sz w:val="24"/>
                <w:szCs w:val="24"/>
              </w:rPr>
            </w:pPr>
            <w:r>
              <w:rPr>
                <w:rFonts w:asciiTheme="minorHAnsi" w:hAnsiTheme="minorHAnsi"/>
                <w:b/>
                <w:sz w:val="24"/>
                <w:szCs w:val="24"/>
              </w:rPr>
              <w:t>39</w:t>
            </w:r>
            <w:r w:rsidR="00BB23EF">
              <w:rPr>
                <w:rFonts w:asciiTheme="minorHAnsi" w:hAnsiTheme="minorHAnsi"/>
                <w:b/>
                <w:sz w:val="24"/>
                <w:szCs w:val="24"/>
              </w:rPr>
              <w:t xml:space="preserve"> 000,00 zł </w:t>
            </w:r>
          </w:p>
        </w:tc>
        <w:tc>
          <w:tcPr>
            <w:tcW w:w="1559" w:type="dxa"/>
            <w:tcBorders>
              <w:right w:val="single" w:sz="4" w:space="0" w:color="auto"/>
            </w:tcBorders>
          </w:tcPr>
          <w:p w:rsidR="00BB23EF" w:rsidRDefault="00A26054" w:rsidP="00BB23EF">
            <w:pPr>
              <w:jc w:val="center"/>
              <w:rPr>
                <w:rFonts w:asciiTheme="minorHAnsi" w:hAnsiTheme="minorHAnsi"/>
                <w:b/>
                <w:sz w:val="24"/>
                <w:szCs w:val="24"/>
              </w:rPr>
            </w:pPr>
            <w:r>
              <w:rPr>
                <w:rFonts w:asciiTheme="minorHAnsi" w:hAnsiTheme="minorHAnsi"/>
                <w:b/>
                <w:sz w:val="24"/>
                <w:szCs w:val="24"/>
              </w:rPr>
              <w:t>39</w:t>
            </w:r>
            <w:r w:rsidR="00BB23EF">
              <w:rPr>
                <w:rFonts w:asciiTheme="minorHAnsi" w:hAnsiTheme="minorHAnsi"/>
                <w:b/>
                <w:sz w:val="24"/>
                <w:szCs w:val="24"/>
              </w:rPr>
              <w:t>00,00 zł</w:t>
            </w:r>
          </w:p>
        </w:tc>
        <w:tc>
          <w:tcPr>
            <w:tcW w:w="2092" w:type="dxa"/>
            <w:tcBorders>
              <w:left w:val="single" w:sz="4" w:space="0" w:color="auto"/>
            </w:tcBorders>
          </w:tcPr>
          <w:p w:rsidR="00BB23EF" w:rsidRDefault="00A26054" w:rsidP="00BB23EF">
            <w:pPr>
              <w:jc w:val="center"/>
              <w:rPr>
                <w:rFonts w:asciiTheme="minorHAnsi" w:hAnsiTheme="minorHAnsi"/>
                <w:b/>
                <w:sz w:val="24"/>
                <w:szCs w:val="24"/>
              </w:rPr>
            </w:pPr>
            <w:r>
              <w:rPr>
                <w:rFonts w:asciiTheme="minorHAnsi" w:hAnsiTheme="minorHAnsi"/>
                <w:b/>
                <w:sz w:val="24"/>
                <w:szCs w:val="24"/>
              </w:rPr>
              <w:t>11:00</w:t>
            </w:r>
          </w:p>
        </w:tc>
      </w:tr>
      <w:tr w:rsidR="00000697" w:rsidTr="00000697">
        <w:trPr>
          <w:jc w:val="center"/>
        </w:trPr>
        <w:tc>
          <w:tcPr>
            <w:tcW w:w="9288" w:type="dxa"/>
            <w:gridSpan w:val="5"/>
          </w:tcPr>
          <w:p w:rsidR="00000697" w:rsidRDefault="00000697" w:rsidP="00A26054">
            <w:pPr>
              <w:jc w:val="center"/>
              <w:rPr>
                <w:rFonts w:asciiTheme="minorHAnsi" w:hAnsiTheme="minorHAnsi"/>
                <w:b/>
                <w:sz w:val="24"/>
                <w:szCs w:val="24"/>
              </w:rPr>
            </w:pPr>
            <w:r>
              <w:rPr>
                <w:rFonts w:asciiTheme="minorHAnsi" w:hAnsiTheme="minorHAnsi"/>
                <w:b/>
                <w:sz w:val="24"/>
                <w:szCs w:val="24"/>
              </w:rPr>
              <w:t>KW GL1J/</w:t>
            </w:r>
            <w:r w:rsidR="00A26054">
              <w:rPr>
                <w:rFonts w:asciiTheme="minorHAnsi" w:hAnsiTheme="minorHAnsi"/>
                <w:b/>
                <w:sz w:val="24"/>
                <w:szCs w:val="24"/>
              </w:rPr>
              <w:t>00010265/8</w:t>
            </w:r>
            <w:r>
              <w:rPr>
                <w:rFonts w:asciiTheme="minorHAnsi" w:hAnsiTheme="minorHAnsi"/>
                <w:b/>
                <w:sz w:val="24"/>
                <w:szCs w:val="24"/>
              </w:rPr>
              <w:t xml:space="preserve"> dział III i IV wolne od wpisów</w:t>
            </w:r>
          </w:p>
        </w:tc>
      </w:tr>
    </w:tbl>
    <w:p w:rsidR="006A3D38" w:rsidRPr="001A27D0" w:rsidRDefault="00070D43" w:rsidP="006A3D38">
      <w:pPr>
        <w:jc w:val="both"/>
        <w:rPr>
          <w:rFonts w:asciiTheme="minorHAnsi" w:hAnsiTheme="minorHAnsi" w:cs="Arial"/>
          <w:sz w:val="16"/>
          <w:szCs w:val="16"/>
        </w:rPr>
      </w:pPr>
      <w:r w:rsidRPr="001A27D0">
        <w:rPr>
          <w:rFonts w:asciiTheme="minorHAnsi" w:hAnsiTheme="minorHAnsi" w:cs="Arial"/>
          <w:sz w:val="16"/>
          <w:szCs w:val="16"/>
        </w:rPr>
        <w:t xml:space="preserve">Sprzedaż nieruchomości zgodnie z przepisami ustawy z dnia 11 marca 2004 roku o podatku od towarów i usług (Dz. U. z 2011 r. Nr 177 poz. 1054 z późn. zm.) objęta 23 % podatkiem VAT. </w:t>
      </w:r>
      <w:r w:rsidR="006A3D38" w:rsidRPr="001A27D0">
        <w:rPr>
          <w:rFonts w:asciiTheme="minorHAnsi" w:hAnsiTheme="minorHAnsi" w:cs="Arial"/>
          <w:sz w:val="16"/>
          <w:szCs w:val="16"/>
        </w:rPr>
        <w:t>Termin do złożenia wniosku przez osoby, którym przysługuje pierwszeństwo w nabyciu nieruchomości na podstawie art. 34 ust.1 pkt 1 i 2 ustawy z dnia 21 sierpnia 1997 r. o gospodarce nieruchomościami ( j. t. Dz. U. z 2015 r. poz 782. Z pózn. zm) upłynął dnia 18.06.2015 roku</w:t>
      </w:r>
      <w:r w:rsidR="00F7458C" w:rsidRPr="001A27D0">
        <w:rPr>
          <w:rFonts w:asciiTheme="minorHAnsi" w:hAnsiTheme="minorHAnsi" w:cs="Arial"/>
          <w:sz w:val="16"/>
          <w:szCs w:val="16"/>
        </w:rPr>
        <w:t>. Pierwszy przetarg odbył się w dniu 11 sierpnia 2015 roku i zakończył się wynikiem negatywnym</w:t>
      </w:r>
      <w:r w:rsidR="001A27D0">
        <w:rPr>
          <w:rFonts w:asciiTheme="minorHAnsi" w:hAnsiTheme="minorHAnsi" w:cs="Arial"/>
          <w:sz w:val="16"/>
          <w:szCs w:val="16"/>
        </w:rPr>
        <w:t>.</w:t>
      </w:r>
      <w:r w:rsidR="00ED1474">
        <w:rPr>
          <w:rFonts w:asciiTheme="minorHAnsi" w:hAnsiTheme="minorHAnsi" w:cs="Arial"/>
          <w:sz w:val="16"/>
          <w:szCs w:val="16"/>
        </w:rPr>
        <w:t xml:space="preserve"> Drugi przetarg odbył się w dniu 09.11.2015 r i zakończył się wynikiem negatywnym.</w:t>
      </w:r>
    </w:p>
    <w:p w:rsidR="00070D43" w:rsidRDefault="00070D43" w:rsidP="00CA679E">
      <w:pPr>
        <w:jc w:val="center"/>
        <w:rPr>
          <w:rFonts w:asciiTheme="minorHAnsi" w:hAnsiTheme="minorHAnsi"/>
          <w:b/>
          <w:sz w:val="24"/>
          <w:szCs w:val="24"/>
        </w:rPr>
      </w:pPr>
      <w:r>
        <w:rPr>
          <w:rFonts w:asciiTheme="minorHAnsi" w:hAnsiTheme="minorHAnsi"/>
          <w:b/>
          <w:sz w:val="24"/>
          <w:szCs w:val="24"/>
        </w:rPr>
        <w:t>Opis działek:</w:t>
      </w:r>
    </w:p>
    <w:p w:rsidR="006A3D38" w:rsidRPr="008A37C3" w:rsidRDefault="006A3D38" w:rsidP="006A3D38">
      <w:pPr>
        <w:jc w:val="both"/>
        <w:rPr>
          <w:rFonts w:asciiTheme="minorHAnsi" w:hAnsiTheme="minorHAnsi" w:cs="Arial"/>
          <w:sz w:val="22"/>
          <w:szCs w:val="22"/>
        </w:rPr>
      </w:pPr>
      <w:r w:rsidRPr="008A37C3">
        <w:rPr>
          <w:rFonts w:asciiTheme="minorHAnsi" w:hAnsiTheme="minorHAnsi" w:cs="Arial"/>
          <w:sz w:val="22"/>
          <w:szCs w:val="22"/>
        </w:rPr>
        <w:t xml:space="preserve">Nieruchomość stanowi kompleks działek o regularnych kształtach, położona jest w sąsiedztwie działek niezabudowanych oraz lasów, stawu i terenów rolnych. Ukształtowanie terenu płaskie. Działki położone bezpośrednio przy ul. Powstańców Śląskich będą komunikowane za pomocą drogi wewnętrznej. </w:t>
      </w:r>
    </w:p>
    <w:p w:rsidR="006A3D38" w:rsidRPr="008A37C3" w:rsidRDefault="008A37C3" w:rsidP="006A3D38">
      <w:pPr>
        <w:jc w:val="both"/>
        <w:rPr>
          <w:rFonts w:asciiTheme="minorHAnsi" w:hAnsiTheme="minorHAnsi" w:cs="Arial"/>
          <w:sz w:val="22"/>
          <w:szCs w:val="22"/>
          <w:u w:val="single"/>
        </w:rPr>
      </w:pPr>
      <w:r>
        <w:rPr>
          <w:rFonts w:asciiTheme="minorHAnsi" w:hAnsiTheme="minorHAnsi" w:cs="Arial"/>
          <w:sz w:val="22"/>
          <w:szCs w:val="22"/>
        </w:rPr>
        <w:t>Zgodnie z Miejscowym P</w:t>
      </w:r>
      <w:r w:rsidR="0002002E" w:rsidRPr="008A37C3">
        <w:rPr>
          <w:rFonts w:asciiTheme="minorHAnsi" w:hAnsiTheme="minorHAnsi" w:cs="Arial"/>
          <w:sz w:val="22"/>
          <w:szCs w:val="22"/>
        </w:rPr>
        <w:t>lanem Zagospodarowania Przestrzennego zatwierdzonym Uchwałą Rady Miasta Jastrzębie-Zdrój Nr VII/69/2007 z dnia 22.03.2007 ogłoszoną w</w:t>
      </w:r>
      <w:r>
        <w:rPr>
          <w:rFonts w:asciiTheme="minorHAnsi" w:hAnsiTheme="minorHAnsi" w:cs="Arial"/>
          <w:sz w:val="22"/>
          <w:szCs w:val="22"/>
        </w:rPr>
        <w:t> </w:t>
      </w:r>
      <w:r w:rsidR="0002002E" w:rsidRPr="008A37C3">
        <w:rPr>
          <w:rFonts w:asciiTheme="minorHAnsi" w:hAnsiTheme="minorHAnsi" w:cs="Arial"/>
          <w:sz w:val="22"/>
          <w:szCs w:val="22"/>
        </w:rPr>
        <w:t xml:space="preserve">Dzienniku </w:t>
      </w:r>
      <w:r>
        <w:rPr>
          <w:rFonts w:asciiTheme="minorHAnsi" w:hAnsiTheme="minorHAnsi" w:cs="Arial"/>
          <w:sz w:val="22"/>
          <w:szCs w:val="22"/>
        </w:rPr>
        <w:t>Urzędowym Województwa Śląskiego</w:t>
      </w:r>
      <w:r w:rsidR="0002002E" w:rsidRPr="008A37C3">
        <w:rPr>
          <w:rFonts w:asciiTheme="minorHAnsi" w:hAnsiTheme="minorHAnsi" w:cs="Arial"/>
          <w:sz w:val="22"/>
          <w:szCs w:val="22"/>
        </w:rPr>
        <w:t xml:space="preserve"> nr 97 poz. 1972 z dnia 04 czerwca 2007 roku</w:t>
      </w:r>
      <w:r>
        <w:rPr>
          <w:rFonts w:asciiTheme="minorHAnsi" w:hAnsiTheme="minorHAnsi" w:cs="Arial"/>
          <w:sz w:val="22"/>
          <w:szCs w:val="22"/>
        </w:rPr>
        <w:t>,</w:t>
      </w:r>
      <w:r w:rsidR="0002002E" w:rsidRPr="008A37C3">
        <w:rPr>
          <w:rFonts w:asciiTheme="minorHAnsi" w:hAnsiTheme="minorHAnsi" w:cs="Arial"/>
          <w:sz w:val="22"/>
          <w:szCs w:val="22"/>
        </w:rPr>
        <w:t xml:space="preserve"> działki znajdują się w strefie </w:t>
      </w:r>
      <w:r w:rsidR="0002002E" w:rsidRPr="008A37C3">
        <w:rPr>
          <w:rFonts w:asciiTheme="minorHAnsi" w:hAnsiTheme="minorHAnsi" w:cs="Arial"/>
          <w:b/>
          <w:sz w:val="22"/>
          <w:szCs w:val="22"/>
        </w:rPr>
        <w:t>1 MNR- tereny zabudo</w:t>
      </w:r>
      <w:r w:rsidRPr="008A37C3">
        <w:rPr>
          <w:rFonts w:asciiTheme="minorHAnsi" w:hAnsiTheme="minorHAnsi" w:cs="Arial"/>
          <w:b/>
          <w:sz w:val="22"/>
          <w:szCs w:val="22"/>
        </w:rPr>
        <w:t>wy mieszkaniowej jednorodzinnej</w:t>
      </w:r>
      <w:r w:rsidR="0002002E" w:rsidRPr="008A37C3">
        <w:rPr>
          <w:rFonts w:asciiTheme="minorHAnsi" w:hAnsiTheme="minorHAnsi" w:cs="Arial"/>
          <w:b/>
          <w:sz w:val="22"/>
          <w:szCs w:val="22"/>
        </w:rPr>
        <w:t> i zagrodowej.</w:t>
      </w:r>
      <w:r w:rsidR="006A3D38" w:rsidRPr="008A37C3">
        <w:rPr>
          <w:rFonts w:asciiTheme="minorHAnsi" w:hAnsiTheme="minorHAnsi" w:cs="Arial"/>
          <w:sz w:val="22"/>
          <w:szCs w:val="22"/>
        </w:rPr>
        <w:t xml:space="preserve"> Uchwała VII/69/2007 wraz z załącznikiem graficznym jest dostępna na stronie intern</w:t>
      </w:r>
      <w:r w:rsidR="00ED5DD1" w:rsidRPr="008A37C3">
        <w:rPr>
          <w:rFonts w:asciiTheme="minorHAnsi" w:hAnsiTheme="minorHAnsi" w:cs="Arial"/>
          <w:sz w:val="22"/>
          <w:szCs w:val="22"/>
        </w:rPr>
        <w:t>etowej Urzędu Miasta Jastrzębie-</w:t>
      </w:r>
      <w:r w:rsidR="006A3D38" w:rsidRPr="008A37C3">
        <w:rPr>
          <w:rFonts w:asciiTheme="minorHAnsi" w:hAnsiTheme="minorHAnsi" w:cs="Arial"/>
          <w:sz w:val="22"/>
          <w:szCs w:val="22"/>
        </w:rPr>
        <w:t xml:space="preserve">Zdrój </w:t>
      </w:r>
      <w:hyperlink r:id="rId5" w:history="1">
        <w:r w:rsidR="00ED5DD1" w:rsidRPr="008A37C3">
          <w:rPr>
            <w:rStyle w:val="Hipercze"/>
            <w:rFonts w:asciiTheme="minorHAnsi" w:hAnsiTheme="minorHAnsi"/>
            <w:sz w:val="22"/>
            <w:szCs w:val="22"/>
          </w:rPr>
          <w:t>www.bip.jastrzebie.pl</w:t>
        </w:r>
      </w:hyperlink>
      <w:r w:rsidR="006A3D38" w:rsidRPr="008A37C3">
        <w:rPr>
          <w:rFonts w:asciiTheme="minorHAnsi" w:hAnsiTheme="minorHAnsi" w:cs="Arial"/>
          <w:sz w:val="22"/>
          <w:szCs w:val="22"/>
        </w:rPr>
        <w:t xml:space="preserve">. </w:t>
      </w:r>
      <w:r w:rsidR="0002002E" w:rsidRPr="008A37C3">
        <w:rPr>
          <w:rFonts w:asciiTheme="minorHAnsi" w:hAnsiTheme="minorHAnsi" w:cs="Arial"/>
          <w:sz w:val="22"/>
          <w:szCs w:val="22"/>
        </w:rPr>
        <w:t xml:space="preserve">Tereny przylegające do granic administracyjnych </w:t>
      </w:r>
      <w:r w:rsidR="006476BB">
        <w:rPr>
          <w:rFonts w:asciiTheme="minorHAnsi" w:hAnsiTheme="minorHAnsi" w:cs="Arial"/>
          <w:sz w:val="22"/>
          <w:szCs w:val="22"/>
        </w:rPr>
        <w:t>M</w:t>
      </w:r>
      <w:r w:rsidR="0002002E" w:rsidRPr="008A37C3">
        <w:rPr>
          <w:rFonts w:asciiTheme="minorHAnsi" w:hAnsiTheme="minorHAnsi" w:cs="Arial"/>
          <w:sz w:val="22"/>
          <w:szCs w:val="22"/>
        </w:rPr>
        <w:t>iasta Jastrzębie-Zdrój znajdujące się w rejonie Alei Jana Pawła II w Żorach (P</w:t>
      </w:r>
      <w:r w:rsidR="00ED5DD1" w:rsidRPr="008A37C3">
        <w:rPr>
          <w:rFonts w:asciiTheme="minorHAnsi" w:hAnsiTheme="minorHAnsi" w:cs="Arial"/>
          <w:sz w:val="22"/>
          <w:szCs w:val="22"/>
        </w:rPr>
        <w:t>owstańców Śląskich w Jastrzębiu-</w:t>
      </w:r>
      <w:r w:rsidR="0002002E" w:rsidRPr="008A37C3">
        <w:rPr>
          <w:rFonts w:asciiTheme="minorHAnsi" w:hAnsiTheme="minorHAnsi" w:cs="Arial"/>
          <w:sz w:val="22"/>
          <w:szCs w:val="22"/>
        </w:rPr>
        <w:t>Zdroju) znajdują się na obszarze miasta Żory, dla którego obowiązuje Miejscowy Plan Zagospodarowania Przestrzennego przyjęty uchwałą 123/X/11 z dnia 14.07.2011r.</w:t>
      </w:r>
      <w:r w:rsidRPr="008A37C3">
        <w:rPr>
          <w:rFonts w:asciiTheme="minorHAnsi" w:hAnsiTheme="minorHAnsi" w:cs="Arial"/>
          <w:sz w:val="22"/>
          <w:szCs w:val="22"/>
        </w:rPr>
        <w:t xml:space="preserve"> Szczegółowe informacje w przedmiocie obowiązującego</w:t>
      </w:r>
      <w:r w:rsidR="006476BB">
        <w:rPr>
          <w:rFonts w:asciiTheme="minorHAnsi" w:hAnsiTheme="minorHAnsi" w:cs="Arial"/>
          <w:sz w:val="22"/>
          <w:szCs w:val="22"/>
        </w:rPr>
        <w:t xml:space="preserve"> dla zbywanych działek</w:t>
      </w:r>
      <w:r w:rsidRPr="008A37C3">
        <w:rPr>
          <w:rFonts w:asciiTheme="minorHAnsi" w:hAnsiTheme="minorHAnsi" w:cs="Arial"/>
          <w:sz w:val="22"/>
          <w:szCs w:val="22"/>
        </w:rPr>
        <w:t xml:space="preserve"> planu oraz dopuszczalnego sposobu zagospodarowania można uzyskać w Wydziale Architektury Urzędu Miasta w Jastrzębiu-Zdrój</w:t>
      </w:r>
    </w:p>
    <w:p w:rsidR="0002002E" w:rsidRPr="008A37C3" w:rsidRDefault="0002002E" w:rsidP="006A3D38">
      <w:pPr>
        <w:jc w:val="both"/>
        <w:rPr>
          <w:rFonts w:asciiTheme="minorHAnsi" w:hAnsiTheme="minorHAnsi"/>
          <w:b/>
          <w:sz w:val="22"/>
          <w:szCs w:val="22"/>
        </w:rPr>
      </w:pPr>
      <w:r w:rsidRPr="008A37C3">
        <w:rPr>
          <w:rFonts w:asciiTheme="minorHAnsi" w:hAnsiTheme="minorHAnsi" w:cs="Arial"/>
          <w:sz w:val="22"/>
          <w:szCs w:val="22"/>
          <w:u w:val="single"/>
        </w:rPr>
        <w:t>Informacje dodatkowe:</w:t>
      </w:r>
      <w:r w:rsidR="006A3D38" w:rsidRPr="008A37C3">
        <w:rPr>
          <w:rFonts w:asciiTheme="minorHAnsi" w:hAnsiTheme="minorHAnsi" w:cs="Arial"/>
          <w:sz w:val="22"/>
          <w:szCs w:val="22"/>
          <w:u w:val="single"/>
        </w:rPr>
        <w:t xml:space="preserve"> </w:t>
      </w:r>
      <w:r w:rsidR="006A3D38" w:rsidRPr="008A37C3">
        <w:rPr>
          <w:rFonts w:asciiTheme="minorHAnsi" w:hAnsiTheme="minorHAnsi" w:cs="Arial"/>
          <w:sz w:val="22"/>
          <w:szCs w:val="22"/>
        </w:rPr>
        <w:t>Zgodnie z informacją uzyskana z PWiK Żory Sp. z o.o. w rejonie ul Powstańców Śląskich została zaprojektowana sieć wodociągowa PE-HD DN 160. Z</w:t>
      </w:r>
      <w:r w:rsidR="008A37C3">
        <w:rPr>
          <w:rFonts w:asciiTheme="minorHAnsi" w:hAnsiTheme="minorHAnsi" w:cs="Arial"/>
          <w:sz w:val="22"/>
          <w:szCs w:val="22"/>
        </w:rPr>
        <w:t> </w:t>
      </w:r>
      <w:r w:rsidR="006A3D38" w:rsidRPr="008A37C3">
        <w:rPr>
          <w:rFonts w:asciiTheme="minorHAnsi" w:hAnsiTheme="minorHAnsi" w:cs="Arial"/>
          <w:sz w:val="22"/>
          <w:szCs w:val="22"/>
        </w:rPr>
        <w:t xml:space="preserve">sieci tej w przyszłości przewidziane jest zapewnienie dostaw wody dla działek. Do budowy sieci wodociągowej w tym rejonie PWiK Żory przystąpi pod warunkiem </w:t>
      </w:r>
      <w:r w:rsidR="008A37C3">
        <w:rPr>
          <w:rFonts w:asciiTheme="minorHAnsi" w:hAnsiTheme="minorHAnsi" w:cs="Arial"/>
          <w:sz w:val="22"/>
          <w:szCs w:val="22"/>
        </w:rPr>
        <w:t>uzyskania warunków technicznych</w:t>
      </w:r>
      <w:r w:rsidR="006A3D38" w:rsidRPr="008A37C3">
        <w:rPr>
          <w:rFonts w:asciiTheme="minorHAnsi" w:hAnsiTheme="minorHAnsi" w:cs="Arial"/>
          <w:sz w:val="22"/>
          <w:szCs w:val="22"/>
        </w:rPr>
        <w:t xml:space="preserve"> podłączenia do sieci wodociągowej, uzgodnienia projektów poszczególnych przyłączy wodociągowych, dostarczeniu kopii pozwoleń na budowę dla określonych działek, ustanowienia nieodpłatnej służebności na rzecz PWiK Żory Sp. z o.o. Zgodnie z informacją uzyskaną z G</w:t>
      </w:r>
      <w:r w:rsidR="008A37C3">
        <w:rPr>
          <w:rFonts w:asciiTheme="minorHAnsi" w:hAnsiTheme="minorHAnsi" w:cs="Arial"/>
          <w:sz w:val="22"/>
          <w:szCs w:val="22"/>
        </w:rPr>
        <w:t>órnośląskiej Spółki Gazownictwa</w:t>
      </w:r>
      <w:r w:rsidR="006A3D38" w:rsidRPr="008A37C3">
        <w:rPr>
          <w:rFonts w:asciiTheme="minorHAnsi" w:hAnsiTheme="minorHAnsi" w:cs="Arial"/>
          <w:sz w:val="22"/>
          <w:szCs w:val="22"/>
        </w:rPr>
        <w:t xml:space="preserve"> Sp. z o.o. na opisywanym obszarze brak sieci gazowej niskiego i średniego ciśnienia, istnieją jednak techniczne możliwości podłączenia do sieci gazowej przy poborze gazu w ilości nie większej jak 3,5 m</w:t>
      </w:r>
      <w:r w:rsidR="006A3D38" w:rsidRPr="008A37C3">
        <w:rPr>
          <w:rFonts w:asciiTheme="minorHAnsi" w:hAnsiTheme="minorHAnsi" w:cs="Arial"/>
          <w:sz w:val="22"/>
          <w:szCs w:val="22"/>
          <w:vertAlign w:val="superscript"/>
        </w:rPr>
        <w:t>3</w:t>
      </w:r>
      <w:r w:rsidR="006A3D38" w:rsidRPr="008A37C3">
        <w:rPr>
          <w:rFonts w:asciiTheme="minorHAnsi" w:hAnsiTheme="minorHAnsi" w:cs="Arial"/>
          <w:sz w:val="22"/>
          <w:szCs w:val="22"/>
        </w:rPr>
        <w:t xml:space="preserve">/h dla każdej w wymienionych parcel. Źródłem gazu może być istniejąca sieć gazowa średniego ciśnienia o średnicy </w:t>
      </w:r>
      <w:r w:rsidR="006A3D38" w:rsidRPr="008A37C3">
        <w:rPr>
          <w:rFonts w:asciiTheme="minorHAnsi" w:hAnsiTheme="minorHAnsi" w:cs="Arial"/>
          <w:sz w:val="22"/>
          <w:szCs w:val="22"/>
        </w:rPr>
        <w:sym w:font="Symbol" w:char="F0C6"/>
      </w:r>
      <w:r w:rsidR="006A3D38" w:rsidRPr="008A37C3">
        <w:rPr>
          <w:rFonts w:asciiTheme="minorHAnsi" w:hAnsiTheme="minorHAnsi" w:cs="Arial"/>
          <w:sz w:val="22"/>
          <w:szCs w:val="22"/>
        </w:rPr>
        <w:t xml:space="preserve"> 50 mm z rur stalowych w Osińskiej. Wzdłuż drogi przebiega linia teletechniczna napowietrzna. Przez działki 349/24, 348/24, 347/24, przebiega sieć energetyczna</w:t>
      </w:r>
      <w:r w:rsidR="00ED5DD1" w:rsidRPr="008A37C3">
        <w:rPr>
          <w:rFonts w:asciiTheme="minorHAnsi" w:hAnsiTheme="minorHAnsi" w:cs="Arial"/>
          <w:sz w:val="22"/>
          <w:szCs w:val="22"/>
        </w:rPr>
        <w:t>,</w:t>
      </w:r>
      <w:r w:rsidR="006A3D38" w:rsidRPr="008A37C3">
        <w:rPr>
          <w:rFonts w:asciiTheme="minorHAnsi" w:hAnsiTheme="minorHAnsi" w:cs="Arial"/>
          <w:sz w:val="22"/>
          <w:szCs w:val="22"/>
        </w:rPr>
        <w:t xml:space="preserve"> która dostarczała energię do budynku na działce 346/24. Brak innych obciążeń których przedmiotem jest nieruchomość. Dodatkowe informacje odnośnie zbywanej nieruchomości można uzyskać w Wydziale Mienia Urzędu Miasta Jastrzębie-Zdrój, pokój 417 B tel. (032) 47 85 273. </w:t>
      </w:r>
      <w:r w:rsidRPr="008A37C3">
        <w:rPr>
          <w:rFonts w:asciiTheme="minorHAnsi" w:hAnsiTheme="minorHAnsi" w:cs="Arial"/>
          <w:sz w:val="22"/>
          <w:szCs w:val="22"/>
        </w:rPr>
        <w:t>Okazanie nieruchomości może nastąpić po wcześniejszym telefonicznym uzgodnieniu terminu.</w:t>
      </w:r>
    </w:p>
    <w:p w:rsidR="00070D43" w:rsidRPr="008A37C3" w:rsidRDefault="006A3D38" w:rsidP="00F57C7A">
      <w:pPr>
        <w:ind w:left="-142" w:right="-108"/>
        <w:jc w:val="both"/>
        <w:rPr>
          <w:rFonts w:asciiTheme="minorHAnsi" w:hAnsiTheme="minorHAnsi" w:cs="Arial"/>
          <w:sz w:val="22"/>
          <w:szCs w:val="22"/>
        </w:rPr>
      </w:pPr>
      <w:r w:rsidRPr="008A37C3">
        <w:rPr>
          <w:rFonts w:asciiTheme="minorHAnsi" w:hAnsiTheme="minorHAnsi" w:cs="Arial"/>
          <w:b/>
          <w:sz w:val="22"/>
          <w:szCs w:val="22"/>
        </w:rPr>
        <w:tab/>
      </w:r>
      <w:r w:rsidR="0093282B" w:rsidRPr="008A37C3">
        <w:rPr>
          <w:rFonts w:asciiTheme="minorHAnsi" w:hAnsiTheme="minorHAnsi" w:cs="Arial"/>
          <w:b/>
          <w:sz w:val="22"/>
          <w:szCs w:val="22"/>
        </w:rPr>
        <w:t>W</w:t>
      </w:r>
      <w:r w:rsidR="00070D43" w:rsidRPr="008A37C3">
        <w:rPr>
          <w:rFonts w:asciiTheme="minorHAnsi" w:hAnsiTheme="minorHAnsi" w:cs="Arial"/>
          <w:b/>
          <w:sz w:val="22"/>
          <w:szCs w:val="22"/>
        </w:rPr>
        <w:t>arunkiem przystąpienia do przetargu</w:t>
      </w:r>
      <w:r w:rsidR="000C42A9">
        <w:rPr>
          <w:rFonts w:asciiTheme="minorHAnsi" w:hAnsiTheme="minorHAnsi" w:cs="Arial"/>
          <w:sz w:val="22"/>
          <w:szCs w:val="22"/>
        </w:rPr>
        <w:t xml:space="preserve"> jest w</w:t>
      </w:r>
      <w:r w:rsidR="00070D43" w:rsidRPr="008A37C3">
        <w:rPr>
          <w:rFonts w:asciiTheme="minorHAnsi" w:hAnsiTheme="minorHAnsi" w:cs="Arial"/>
          <w:sz w:val="22"/>
          <w:szCs w:val="22"/>
        </w:rPr>
        <w:t>niesienie wadium w pieniądzu do dnia</w:t>
      </w:r>
      <w:r w:rsidR="008633A7" w:rsidRPr="008A37C3">
        <w:rPr>
          <w:rFonts w:asciiTheme="minorHAnsi" w:hAnsiTheme="minorHAnsi" w:cs="Arial"/>
          <w:sz w:val="22"/>
          <w:szCs w:val="22"/>
        </w:rPr>
        <w:t xml:space="preserve"> </w:t>
      </w:r>
      <w:r w:rsidR="00ED1474">
        <w:rPr>
          <w:rFonts w:asciiTheme="minorHAnsi" w:hAnsiTheme="minorHAnsi" w:cs="Arial"/>
          <w:b/>
          <w:sz w:val="22"/>
          <w:szCs w:val="22"/>
        </w:rPr>
        <w:t>08 stycznia</w:t>
      </w:r>
      <w:r w:rsidR="00070D43" w:rsidRPr="008A37C3">
        <w:rPr>
          <w:rFonts w:asciiTheme="minorHAnsi" w:hAnsiTheme="minorHAnsi" w:cs="Arial"/>
          <w:b/>
          <w:sz w:val="22"/>
          <w:szCs w:val="22"/>
        </w:rPr>
        <w:t xml:space="preserve"> 201</w:t>
      </w:r>
      <w:r w:rsidR="000A39A0">
        <w:rPr>
          <w:rFonts w:asciiTheme="minorHAnsi" w:hAnsiTheme="minorHAnsi" w:cs="Arial"/>
          <w:b/>
          <w:sz w:val="22"/>
          <w:szCs w:val="22"/>
        </w:rPr>
        <w:t>6</w:t>
      </w:r>
      <w:r w:rsidR="00070D43" w:rsidRPr="008A37C3">
        <w:rPr>
          <w:rFonts w:asciiTheme="minorHAnsi" w:hAnsiTheme="minorHAnsi" w:cs="Arial"/>
          <w:sz w:val="22"/>
          <w:szCs w:val="22"/>
        </w:rPr>
        <w:t xml:space="preserve"> roku na konto depozytowe Urzędu Miasta Jastrzębie-Zdrój, Bank </w:t>
      </w:r>
      <w:r w:rsidR="00070D43" w:rsidRPr="008A37C3">
        <w:rPr>
          <w:rFonts w:asciiTheme="minorHAnsi" w:hAnsiTheme="minorHAnsi" w:cs="Arial"/>
          <w:sz w:val="22"/>
          <w:szCs w:val="22"/>
        </w:rPr>
        <w:lastRenderedPageBreak/>
        <w:t xml:space="preserve">Spółdzielczy w Jastrzębiu-Zdroju numer </w:t>
      </w:r>
      <w:r w:rsidR="00070D43" w:rsidRPr="008A37C3">
        <w:rPr>
          <w:rFonts w:asciiTheme="minorHAnsi" w:hAnsiTheme="minorHAnsi" w:cs="Arial"/>
          <w:b/>
          <w:sz w:val="22"/>
          <w:szCs w:val="22"/>
        </w:rPr>
        <w:t>74</w:t>
      </w:r>
      <w:r w:rsidR="003D160E" w:rsidRPr="008A37C3">
        <w:rPr>
          <w:rFonts w:asciiTheme="minorHAnsi" w:hAnsiTheme="minorHAnsi" w:cs="Arial"/>
          <w:b/>
          <w:sz w:val="22"/>
          <w:szCs w:val="22"/>
        </w:rPr>
        <w:t> </w:t>
      </w:r>
      <w:r w:rsidR="00070D43" w:rsidRPr="008A37C3">
        <w:rPr>
          <w:rFonts w:asciiTheme="minorHAnsi" w:hAnsiTheme="minorHAnsi" w:cs="Arial"/>
          <w:b/>
          <w:sz w:val="22"/>
          <w:szCs w:val="22"/>
        </w:rPr>
        <w:t>8470</w:t>
      </w:r>
      <w:r w:rsidR="00ED5DD1" w:rsidRPr="008A37C3">
        <w:rPr>
          <w:rFonts w:asciiTheme="minorHAnsi" w:hAnsiTheme="minorHAnsi" w:cs="Arial"/>
          <w:b/>
          <w:sz w:val="22"/>
          <w:szCs w:val="22"/>
        </w:rPr>
        <w:t> </w:t>
      </w:r>
      <w:r w:rsidR="00070D43" w:rsidRPr="008A37C3">
        <w:rPr>
          <w:rFonts w:asciiTheme="minorHAnsi" w:hAnsiTheme="minorHAnsi" w:cs="Arial"/>
          <w:b/>
          <w:sz w:val="22"/>
          <w:szCs w:val="22"/>
        </w:rPr>
        <w:t>0001 2001 0017 6125 0010</w:t>
      </w:r>
      <w:r w:rsidR="00070D43" w:rsidRPr="008A37C3">
        <w:rPr>
          <w:rFonts w:asciiTheme="minorHAnsi" w:hAnsiTheme="minorHAnsi" w:cs="Arial"/>
          <w:sz w:val="22"/>
          <w:szCs w:val="22"/>
        </w:rPr>
        <w:t xml:space="preserve"> z dopiskiem numeru działki, której dotyczy wpłacone wadium. Termin do wniesienia wadium uważa się za dochowany, jeżeli </w:t>
      </w:r>
      <w:r w:rsidR="00ED5DD1" w:rsidRPr="008A37C3">
        <w:rPr>
          <w:rFonts w:asciiTheme="minorHAnsi" w:hAnsiTheme="minorHAnsi" w:cs="Arial"/>
          <w:b/>
          <w:sz w:val="22"/>
          <w:szCs w:val="22"/>
          <w:u w:val="single"/>
        </w:rPr>
        <w:t xml:space="preserve">najpóźniej </w:t>
      </w:r>
      <w:r w:rsidR="00070D43" w:rsidRPr="008A37C3">
        <w:rPr>
          <w:rFonts w:asciiTheme="minorHAnsi" w:hAnsiTheme="minorHAnsi" w:cs="Arial"/>
          <w:b/>
          <w:sz w:val="22"/>
          <w:szCs w:val="22"/>
          <w:u w:val="single"/>
        </w:rPr>
        <w:t xml:space="preserve">w dniu </w:t>
      </w:r>
      <w:r w:rsidR="00ED1474">
        <w:rPr>
          <w:rFonts w:asciiTheme="minorHAnsi" w:hAnsiTheme="minorHAnsi" w:cs="Arial"/>
          <w:b/>
          <w:sz w:val="22"/>
          <w:szCs w:val="22"/>
          <w:u w:val="single"/>
        </w:rPr>
        <w:t>08 stycznia</w:t>
      </w:r>
      <w:r w:rsidR="00070D43" w:rsidRPr="008A37C3">
        <w:rPr>
          <w:rFonts w:asciiTheme="minorHAnsi" w:hAnsiTheme="minorHAnsi" w:cs="Arial"/>
          <w:b/>
          <w:sz w:val="22"/>
          <w:szCs w:val="22"/>
          <w:u w:val="single"/>
        </w:rPr>
        <w:t xml:space="preserve"> 201</w:t>
      </w:r>
      <w:r w:rsidR="000A39A0">
        <w:rPr>
          <w:rFonts w:asciiTheme="minorHAnsi" w:hAnsiTheme="minorHAnsi" w:cs="Arial"/>
          <w:b/>
          <w:sz w:val="22"/>
          <w:szCs w:val="22"/>
          <w:u w:val="single"/>
        </w:rPr>
        <w:t>6</w:t>
      </w:r>
      <w:r w:rsidR="00070D43" w:rsidRPr="008A37C3">
        <w:rPr>
          <w:rFonts w:asciiTheme="minorHAnsi" w:hAnsiTheme="minorHAnsi" w:cs="Arial"/>
          <w:b/>
          <w:sz w:val="22"/>
          <w:szCs w:val="22"/>
          <w:u w:val="single"/>
        </w:rPr>
        <w:t xml:space="preserve"> r</w:t>
      </w:r>
      <w:r w:rsidR="00070D43" w:rsidRPr="008A37C3">
        <w:rPr>
          <w:rFonts w:asciiTheme="minorHAnsi" w:hAnsiTheme="minorHAnsi" w:cs="Arial"/>
          <w:b/>
          <w:sz w:val="22"/>
          <w:szCs w:val="22"/>
        </w:rPr>
        <w:t>.</w:t>
      </w:r>
      <w:r w:rsidR="00070D43" w:rsidRPr="008A37C3">
        <w:rPr>
          <w:rFonts w:asciiTheme="minorHAnsi" w:hAnsiTheme="minorHAnsi" w:cs="Arial"/>
          <w:sz w:val="22"/>
          <w:szCs w:val="22"/>
        </w:rPr>
        <w:t xml:space="preserve"> kwota stanowiąca wadium znajdzie się na wyżej opisanym koncie Urzędu. Uczestnicy przystępujący do przetargu zobowiązani są przedłożyć Komisji: dowody wpłaty wadium, nazwę i siedzibę Oferenta, numer NIP, wyciąg z właściwego rejestru </w:t>
      </w:r>
      <w:r w:rsidR="008633A7" w:rsidRPr="008A37C3">
        <w:rPr>
          <w:rFonts w:asciiTheme="minorHAnsi" w:hAnsiTheme="minorHAnsi" w:cs="Arial"/>
          <w:sz w:val="22"/>
          <w:szCs w:val="22"/>
        </w:rPr>
        <w:t xml:space="preserve">w przypadku podmiotów polskich. Cudzoziemców nabywających nieruchomość obowiązują przepisy </w:t>
      </w:r>
      <w:r w:rsidR="00070D43" w:rsidRPr="008A37C3">
        <w:rPr>
          <w:rFonts w:asciiTheme="minorHAnsi" w:hAnsiTheme="minorHAnsi" w:cs="Arial"/>
          <w:sz w:val="22"/>
          <w:szCs w:val="22"/>
        </w:rPr>
        <w:t>ustawy z dnia 24 marca 1920 roku o nabywaniu n</w:t>
      </w:r>
      <w:r w:rsidR="000C42A9">
        <w:rPr>
          <w:rFonts w:asciiTheme="minorHAnsi" w:hAnsiTheme="minorHAnsi" w:cs="Arial"/>
          <w:sz w:val="22"/>
          <w:szCs w:val="22"/>
        </w:rPr>
        <w:t>ieruchomości przez cudzoziemców</w:t>
      </w:r>
      <w:r w:rsidR="00070D43" w:rsidRPr="008A37C3">
        <w:rPr>
          <w:rFonts w:asciiTheme="minorHAnsi" w:hAnsiTheme="minorHAnsi" w:cs="Arial"/>
          <w:sz w:val="22"/>
          <w:szCs w:val="22"/>
        </w:rPr>
        <w:t xml:space="preserve"> </w:t>
      </w:r>
      <w:r w:rsidR="008633A7" w:rsidRPr="008A37C3">
        <w:rPr>
          <w:rFonts w:asciiTheme="minorHAnsi" w:hAnsiTheme="minorHAnsi" w:cs="Arial"/>
          <w:sz w:val="22"/>
          <w:szCs w:val="22"/>
        </w:rPr>
        <w:t xml:space="preserve">(t.j. Dz. U. z 2004 r. Nr 167, poz. 1758 z późn. zm). </w:t>
      </w:r>
      <w:r w:rsidR="00070D43" w:rsidRPr="008A37C3">
        <w:rPr>
          <w:rFonts w:asciiTheme="minorHAnsi" w:hAnsiTheme="minorHAnsi" w:cs="Arial"/>
          <w:sz w:val="22"/>
          <w:szCs w:val="22"/>
        </w:rPr>
        <w:t>W</w:t>
      </w:r>
      <w:r w:rsidR="008A37C3">
        <w:rPr>
          <w:rFonts w:asciiTheme="minorHAnsi" w:hAnsiTheme="minorHAnsi" w:cs="Arial"/>
          <w:sz w:val="22"/>
          <w:szCs w:val="22"/>
        </w:rPr>
        <w:t> </w:t>
      </w:r>
      <w:r w:rsidR="00070D43" w:rsidRPr="008A37C3">
        <w:rPr>
          <w:rFonts w:asciiTheme="minorHAnsi" w:hAnsiTheme="minorHAnsi" w:cs="Arial"/>
          <w:sz w:val="22"/>
          <w:szCs w:val="22"/>
        </w:rPr>
        <w:t>przypadku reprezentowania Oferenta przez pełnomocnika należy przedstawić pełnomocnictwo. Małżonkowie oboje biorą udział w przetargu osobiście lub okazując pełnomocnictwo. O wysokości postąpienia decydują uczestnicy przetargu, z tym że postąpienie nie może wynosić mniej niż 1% ceny wywoławczej z zaokrągleniem w górę do pełnych dziesiątek złotych</w:t>
      </w:r>
      <w:r w:rsidR="00070D43" w:rsidRPr="008A37C3">
        <w:rPr>
          <w:rFonts w:asciiTheme="minorHAnsi" w:hAnsiTheme="minorHAnsi" w:cs="Arial"/>
          <w:b/>
          <w:sz w:val="22"/>
          <w:szCs w:val="22"/>
        </w:rPr>
        <w:t>.</w:t>
      </w:r>
      <w:r w:rsidR="00070D43" w:rsidRPr="008A37C3">
        <w:rPr>
          <w:rFonts w:asciiTheme="minorHAnsi" w:hAnsiTheme="minorHAnsi" w:cs="Arial"/>
          <w:sz w:val="22"/>
          <w:szCs w:val="22"/>
        </w:rPr>
        <w:t xml:space="preserve"> Przetarg może się odbyć, chociażby zakwalifikowano do przetargu tylko jednego oferenta spełniającego warunki określone w ogłoszeniu. Wpłacenie wadium równoznaczne jest z tym, że wpłacający zapoznał się i akceptuje warunki przetargu i regulamin jego przeprowadzenia, zapoznał się ze stanem faktycznym nieruchomości objętej przetargiem i przyjmuje go bez zastrzeżeń oraz wyraża gotowość nabycia, zapoznał się z Zarządzeniem Prezydenta Miasta Jastrzębie - Zdrój przeznaczającym w/w nieruchomość do zbycia oraz Rozporządzeniem Rady Ministrów z dnia 14 września 2004 r. w sprawie sposobu i trybu przeprowadzania przetargów oraz rokowań na zbycie nieruchomości.</w:t>
      </w:r>
      <w:r w:rsidR="0093282B" w:rsidRPr="008A37C3">
        <w:rPr>
          <w:rFonts w:asciiTheme="minorHAnsi" w:hAnsiTheme="minorHAnsi" w:cs="Arial"/>
          <w:sz w:val="22"/>
          <w:szCs w:val="22"/>
        </w:rPr>
        <w:t xml:space="preserve"> </w:t>
      </w:r>
      <w:r w:rsidR="00070D43" w:rsidRPr="008A37C3">
        <w:rPr>
          <w:rFonts w:asciiTheme="minorHAnsi" w:hAnsiTheme="minorHAnsi" w:cs="Arial"/>
          <w:sz w:val="22"/>
          <w:szCs w:val="22"/>
        </w:rPr>
        <w:t>Wadium wpłacone przez uczestnika, który przetarg wygra zalicza się na poczet ceny nabycia nieruchomości. Uczestnikom, którzy nie wygrają przetargu wadium zostanie zwrócone niezwłocznie po odwołaniu lub zamknięciu przetargu, jednak nie później niż przed upływem 3 dni od dnia odwołania lub zamknięcia przetargu. Prezydent Miasta Jastrzębie-Zdrój zawiadomi osobę ustaloną jako nabywcę nieruchomości o miejscu i terminie zawarcia umowy sprzedaży, najpóźniej w ciągu 21 dni od dnia rozstrzygnięcia przetargu.</w:t>
      </w:r>
      <w:r w:rsidR="008633A7" w:rsidRPr="008A37C3">
        <w:rPr>
          <w:rFonts w:asciiTheme="minorHAnsi" w:hAnsiTheme="minorHAnsi" w:cs="Arial"/>
          <w:sz w:val="22"/>
          <w:szCs w:val="22"/>
        </w:rPr>
        <w:t xml:space="preserve"> </w:t>
      </w:r>
      <w:r w:rsidR="00070D43" w:rsidRPr="008A37C3">
        <w:rPr>
          <w:rFonts w:asciiTheme="minorHAnsi" w:hAnsiTheme="minorHAnsi" w:cs="Arial"/>
          <w:sz w:val="22"/>
          <w:szCs w:val="22"/>
        </w:rPr>
        <w:t xml:space="preserve">Nabywca nieruchomości jest zobowiązany na 3 dni przed wyznaczonym terminem zawarcia umowy notarialnej do wniesienia jednorazowo wylicytowanej ceny. Jeżeli osoba ustalona jako nabywca nieruchomości nie stawi się bez usprawiedliwienia w miejscu i terminie podanym w zawiadomieniu w celu zawarcia umowy sprzedaży, </w:t>
      </w:r>
      <w:r w:rsidR="008633A7" w:rsidRPr="008A37C3">
        <w:rPr>
          <w:rFonts w:asciiTheme="minorHAnsi" w:hAnsiTheme="minorHAnsi" w:cs="Arial"/>
          <w:sz w:val="22"/>
          <w:szCs w:val="22"/>
        </w:rPr>
        <w:t>Prezydent</w:t>
      </w:r>
      <w:r w:rsidR="00070D43" w:rsidRPr="008A37C3">
        <w:rPr>
          <w:rFonts w:asciiTheme="minorHAnsi" w:hAnsiTheme="minorHAnsi" w:cs="Arial"/>
          <w:sz w:val="22"/>
          <w:szCs w:val="22"/>
        </w:rPr>
        <w:t xml:space="preserve"> może odstąpić od zawarcia umowy, a wpłacone wadium nie podlega zwrotowi. Ogłoszenie o przetargu oraz regulamin zamieszczone są na stronie internetowej Urzędu Miasta Jastrzębie-Zdrój oraz na tablicy ogłoszeń w siedzibie Urzędu Miasta na parterze budynku A oraz na tablicy ogłoszeń w budynku B IV p. Prezydent Miasta Jastrzębie - Zdrój zastrzega sobie prawo odwołania ogłoszonego przetargu z ważnych przyczyn z podaniem uzasadnienia, niezwłocznie podając informację o odwołaniu przetargu do publicznej wiadomości.</w:t>
      </w:r>
    </w:p>
    <w:p w:rsidR="00CA679E" w:rsidRDefault="00CA679E" w:rsidP="003D160E">
      <w:pPr>
        <w:ind w:left="-142" w:right="-108"/>
        <w:jc w:val="both"/>
        <w:rPr>
          <w:rFonts w:ascii="Verdana" w:hAnsi="Verdana" w:cs="Arial"/>
          <w:b/>
          <w:sz w:val="22"/>
          <w:szCs w:val="22"/>
        </w:rPr>
      </w:pPr>
    </w:p>
    <w:p w:rsidR="008A37C3" w:rsidRPr="008A37C3" w:rsidRDefault="008A37C3" w:rsidP="003D160E">
      <w:pPr>
        <w:ind w:left="-142" w:right="-108"/>
        <w:jc w:val="both"/>
        <w:rPr>
          <w:rFonts w:ascii="Verdana" w:hAnsi="Verdana" w:cs="Arial"/>
          <w:b/>
          <w:sz w:val="22"/>
          <w:szCs w:val="22"/>
        </w:rPr>
      </w:pPr>
    </w:p>
    <w:p w:rsidR="00997E1B" w:rsidRPr="008A37C3" w:rsidRDefault="008A37C3" w:rsidP="008A37C3">
      <w:pPr>
        <w:keepNext/>
        <w:rPr>
          <w:sz w:val="22"/>
          <w:szCs w:val="22"/>
        </w:rPr>
      </w:pPr>
      <w:r w:rsidRPr="008A37C3">
        <w:rPr>
          <w:noProof/>
          <w:sz w:val="22"/>
          <w:szCs w:val="22"/>
        </w:rPr>
        <w:drawing>
          <wp:inline distT="0" distB="0" distL="0" distR="0">
            <wp:extent cx="4559774" cy="2314736"/>
            <wp:effectExtent l="19050" t="0" r="0" b="0"/>
            <wp:docPr id="2" name="Obraz 1" descr="F:\Dane\Pisma\MARTA CANIBOŁ\PRZETARGI\2015\Powstańców Śląskich\ul. Powstańców Śląskich lokalizacj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ne\Pisma\MARTA CANIBOŁ\PRZETARGI\2015\Powstańców Śląskich\ul. Powstańców Śląskich lokalizacja .jpg"/>
                    <pic:cNvPicPr>
                      <a:picLocks noChangeAspect="1" noChangeArrowheads="1"/>
                    </pic:cNvPicPr>
                  </pic:nvPicPr>
                  <pic:blipFill>
                    <a:blip r:embed="rId6" cstate="print"/>
                    <a:srcRect/>
                    <a:stretch>
                      <a:fillRect/>
                    </a:stretch>
                  </pic:blipFill>
                  <pic:spPr bwMode="auto">
                    <a:xfrm>
                      <a:off x="0" y="0"/>
                      <a:ext cx="4563675" cy="2316716"/>
                    </a:xfrm>
                    <a:prstGeom prst="rect">
                      <a:avLst/>
                    </a:prstGeom>
                    <a:noFill/>
                    <a:ln w="9525">
                      <a:noFill/>
                      <a:miter lim="800000"/>
                      <a:headEnd/>
                      <a:tailEnd/>
                    </a:ln>
                  </pic:spPr>
                </pic:pic>
              </a:graphicData>
            </a:graphic>
          </wp:inline>
        </w:drawing>
      </w:r>
      <w:r>
        <w:rPr>
          <w:noProof/>
          <w:sz w:val="22"/>
          <w:szCs w:val="22"/>
        </w:rPr>
        <w:t xml:space="preserve">      </w:t>
      </w:r>
      <w:r w:rsidR="00453102">
        <w:rPr>
          <w:noProof/>
          <w:sz w:val="22"/>
          <w:szCs w:val="22"/>
        </w:rPr>
        <w:t xml:space="preserve">         </w:t>
      </w:r>
      <w:r>
        <w:rPr>
          <w:noProof/>
          <w:sz w:val="22"/>
          <w:szCs w:val="22"/>
        </w:rPr>
        <w:t xml:space="preserve">   </w:t>
      </w:r>
      <w:r>
        <w:rPr>
          <w:noProof/>
          <w:sz w:val="22"/>
          <w:szCs w:val="22"/>
        </w:rPr>
        <w:drawing>
          <wp:inline distT="0" distB="0" distL="0" distR="0">
            <wp:extent cx="4558352" cy="2313563"/>
            <wp:effectExtent l="19050" t="0" r="0" b="0"/>
            <wp:docPr id="3" name="Obraz 1" descr="C:\Documents and Settings\mcanibol\Pulpit\Lokalizacje do wykazów\Plan Powstańców- Marta Canibo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nibol\Pulpit\Lokalizacje do wykazów\Plan Powstańców- Marta Caniboł.jpg"/>
                    <pic:cNvPicPr>
                      <a:picLocks noChangeAspect="1" noChangeArrowheads="1"/>
                    </pic:cNvPicPr>
                  </pic:nvPicPr>
                  <pic:blipFill>
                    <a:blip r:embed="rId7" cstate="print"/>
                    <a:srcRect/>
                    <a:stretch>
                      <a:fillRect/>
                    </a:stretch>
                  </pic:blipFill>
                  <pic:spPr bwMode="auto">
                    <a:xfrm>
                      <a:off x="0" y="0"/>
                      <a:ext cx="4557064" cy="2312910"/>
                    </a:xfrm>
                    <a:prstGeom prst="rect">
                      <a:avLst/>
                    </a:prstGeom>
                    <a:noFill/>
                    <a:ln w="9525">
                      <a:noFill/>
                      <a:miter lim="800000"/>
                      <a:headEnd/>
                      <a:tailEnd/>
                    </a:ln>
                  </pic:spPr>
                </pic:pic>
              </a:graphicData>
            </a:graphic>
          </wp:inline>
        </w:drawing>
      </w:r>
    </w:p>
    <w:p w:rsidR="003D160E" w:rsidRPr="008A37C3" w:rsidRDefault="003D160E" w:rsidP="003D160E">
      <w:pPr>
        <w:rPr>
          <w:rFonts w:ascii="Verdana" w:hAnsi="Verdana" w:cs="Arial"/>
          <w:sz w:val="22"/>
          <w:szCs w:val="22"/>
        </w:rPr>
      </w:pPr>
    </w:p>
    <w:p w:rsidR="003D160E" w:rsidRPr="003D160E" w:rsidRDefault="00453102" w:rsidP="003D160E">
      <w:pPr>
        <w:rPr>
          <w:rFonts w:ascii="Verdana" w:hAnsi="Verdana" w:cs="Arial"/>
          <w:sz w:val="20"/>
        </w:rPr>
      </w:pPr>
      <w:r>
        <w:rPr>
          <w:rFonts w:ascii="Verdana" w:hAnsi="Verdana" w:cs="Arial"/>
          <w:sz w:val="20"/>
        </w:rPr>
        <w:t xml:space="preserve"> Lokalizacja                                                                                                      Miejscowy Plan Zagospodarowania Przestrzennego</w:t>
      </w:r>
    </w:p>
    <w:p w:rsidR="003D160E" w:rsidRPr="003D160E" w:rsidRDefault="003D160E" w:rsidP="003D160E">
      <w:pPr>
        <w:rPr>
          <w:rFonts w:ascii="Verdana" w:hAnsi="Verdana" w:cs="Arial"/>
          <w:sz w:val="20"/>
        </w:rPr>
      </w:pPr>
    </w:p>
    <w:p w:rsidR="00BB23EF" w:rsidRPr="003D160E" w:rsidRDefault="003D160E" w:rsidP="003D160E">
      <w:pPr>
        <w:tabs>
          <w:tab w:val="left" w:pos="6120"/>
        </w:tabs>
        <w:rPr>
          <w:rFonts w:ascii="Verdana" w:hAnsi="Verdana" w:cs="Arial"/>
          <w:sz w:val="20"/>
        </w:rPr>
      </w:pPr>
      <w:r>
        <w:rPr>
          <w:rFonts w:ascii="Verdana" w:hAnsi="Verdana" w:cs="Arial"/>
          <w:sz w:val="20"/>
        </w:rPr>
        <w:tab/>
      </w:r>
    </w:p>
    <w:sectPr w:rsidR="00BB23EF" w:rsidRPr="003D160E" w:rsidSect="003D160E">
      <w:pgSz w:w="16838" w:h="11906" w:orient="landscape"/>
      <w:pgMar w:top="426" w:right="678" w:bottom="426" w:left="709"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40"/>
  <w:displayHorizontalDrawingGridEvery w:val="2"/>
  <w:characterSpacingControl w:val="doNotCompress"/>
  <w:compat/>
  <w:rsids>
    <w:rsidRoot w:val="00CA679E"/>
    <w:rsid w:val="00000697"/>
    <w:rsid w:val="0001344C"/>
    <w:rsid w:val="0002002E"/>
    <w:rsid w:val="00070D43"/>
    <w:rsid w:val="000723D7"/>
    <w:rsid w:val="000754FC"/>
    <w:rsid w:val="000A3070"/>
    <w:rsid w:val="000A39A0"/>
    <w:rsid w:val="000C42A9"/>
    <w:rsid w:val="001424ED"/>
    <w:rsid w:val="00145E57"/>
    <w:rsid w:val="00151AA0"/>
    <w:rsid w:val="001A27D0"/>
    <w:rsid w:val="001E7EC3"/>
    <w:rsid w:val="0021430D"/>
    <w:rsid w:val="00244DC1"/>
    <w:rsid w:val="00270238"/>
    <w:rsid w:val="002E1F3D"/>
    <w:rsid w:val="00327105"/>
    <w:rsid w:val="003361BE"/>
    <w:rsid w:val="003D160E"/>
    <w:rsid w:val="00453102"/>
    <w:rsid w:val="004574F4"/>
    <w:rsid w:val="004C5D4D"/>
    <w:rsid w:val="006476BB"/>
    <w:rsid w:val="006A3D38"/>
    <w:rsid w:val="0074489A"/>
    <w:rsid w:val="00797007"/>
    <w:rsid w:val="008401CE"/>
    <w:rsid w:val="008633A7"/>
    <w:rsid w:val="008A37C3"/>
    <w:rsid w:val="0093282B"/>
    <w:rsid w:val="00956EE1"/>
    <w:rsid w:val="00997E1B"/>
    <w:rsid w:val="00A26054"/>
    <w:rsid w:val="00A90C4F"/>
    <w:rsid w:val="00B42D12"/>
    <w:rsid w:val="00BB23EF"/>
    <w:rsid w:val="00BB7471"/>
    <w:rsid w:val="00BF42F0"/>
    <w:rsid w:val="00C12314"/>
    <w:rsid w:val="00CA679E"/>
    <w:rsid w:val="00D22A7E"/>
    <w:rsid w:val="00E06158"/>
    <w:rsid w:val="00ED1474"/>
    <w:rsid w:val="00ED5DD1"/>
    <w:rsid w:val="00F57C7A"/>
    <w:rsid w:val="00F61DA2"/>
    <w:rsid w:val="00F7458C"/>
    <w:rsid w:val="00FF6A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79E"/>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B23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rsid w:val="00070D43"/>
    <w:rPr>
      <w:color w:val="0000FF"/>
      <w:u w:val="single"/>
    </w:rPr>
  </w:style>
  <w:style w:type="paragraph" w:styleId="Tekstdymka">
    <w:name w:val="Balloon Text"/>
    <w:basedOn w:val="Normalny"/>
    <w:link w:val="TekstdymkaZnak"/>
    <w:uiPriority w:val="99"/>
    <w:semiHidden/>
    <w:unhideWhenUsed/>
    <w:rsid w:val="00000697"/>
    <w:rPr>
      <w:rFonts w:ascii="Tahoma" w:hAnsi="Tahoma" w:cs="Tahoma"/>
      <w:sz w:val="16"/>
      <w:szCs w:val="16"/>
    </w:rPr>
  </w:style>
  <w:style w:type="character" w:customStyle="1" w:styleId="TekstdymkaZnak">
    <w:name w:val="Tekst dymka Znak"/>
    <w:basedOn w:val="Domylnaczcionkaakapitu"/>
    <w:link w:val="Tekstdymka"/>
    <w:uiPriority w:val="99"/>
    <w:semiHidden/>
    <w:rsid w:val="00000697"/>
    <w:rPr>
      <w:rFonts w:ascii="Tahoma" w:eastAsia="Times New Roman" w:hAnsi="Tahoma" w:cs="Tahoma"/>
      <w:sz w:val="16"/>
      <w:szCs w:val="16"/>
      <w:lang w:eastAsia="pl-PL"/>
    </w:rPr>
  </w:style>
  <w:style w:type="paragraph" w:styleId="Legenda">
    <w:name w:val="caption"/>
    <w:basedOn w:val="Normalny"/>
    <w:next w:val="Normalny"/>
    <w:uiPriority w:val="35"/>
    <w:unhideWhenUsed/>
    <w:qFormat/>
    <w:rsid w:val="003D160E"/>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bip.jastrzebie.p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1166</Words>
  <Characters>7002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Urząd Miasta Jastrzębie-Zdrój</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mcanibol</dc:creator>
  <cp:keywords/>
  <dc:description/>
  <cp:lastModifiedBy>mcanibol</cp:lastModifiedBy>
  <cp:revision>4</cp:revision>
  <cp:lastPrinted>2015-10-01T10:40:00Z</cp:lastPrinted>
  <dcterms:created xsi:type="dcterms:W3CDTF">2015-11-23T11:39:00Z</dcterms:created>
  <dcterms:modified xsi:type="dcterms:W3CDTF">2015-11-26T07:41:00Z</dcterms:modified>
</cp:coreProperties>
</file>